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spacing w:line="600" w:lineRule="exact"/>
        <w:ind w:firstLine="723" w:firstLineChars="200"/>
        <w:jc w:val="both"/>
        <w:rPr>
          <w:rFonts w:hint="eastAsia" w:ascii="宋体" w:hAnsi="宋体" w:eastAsia="宋体" w:cs="宋体"/>
          <w:b/>
          <w:bCs/>
          <w:color w:val="FF0000"/>
          <w:sz w:val="36"/>
          <w:szCs w:val="36"/>
        </w:rPr>
      </w:pPr>
      <w:bookmarkStart w:id="0" w:name="_Hlk38548745"/>
      <w:r>
        <w:rPr>
          <w:rFonts w:hint="eastAsia" w:ascii="宋体" w:hAnsi="宋体" w:eastAsia="宋体" w:cs="宋体"/>
          <w:b/>
          <w:bCs/>
          <w:color w:val="FF0000"/>
          <w:sz w:val="36"/>
          <w:szCs w:val="36"/>
        </w:rPr>
        <w:t>EPC工程总承包与全过程工程咨询实战型高级研讨班</w:t>
      </w:r>
    </w:p>
    <w:bookmarkEnd w:id="0"/>
    <w:p>
      <w:pPr>
        <w:pStyle w:val="15"/>
        <w:spacing w:line="400" w:lineRule="exact"/>
        <w:jc w:val="center"/>
        <w:rPr>
          <w:rFonts w:ascii="微软雅黑" w:hAnsi="微软雅黑" w:eastAsia="微软雅黑" w:cs="微软雅黑"/>
          <w:color w:val="auto"/>
          <w:kern w:val="2"/>
          <w:sz w:val="21"/>
          <w:szCs w:val="21"/>
        </w:rPr>
      </w:pPr>
      <w:bookmarkStart w:id="2" w:name="_GoBack"/>
      <w:bookmarkEnd w:id="2"/>
    </w:p>
    <w:p>
      <w:pPr>
        <w:pStyle w:val="15"/>
        <w:spacing w:line="440" w:lineRule="exact"/>
        <w:rPr>
          <w:rFonts w:ascii="微软雅黑" w:hAnsi="微软雅黑" w:eastAsia="微软雅黑" w:cs="微软雅黑"/>
          <w:color w:val="auto"/>
          <w:kern w:val="2"/>
          <w:sz w:val="21"/>
          <w:szCs w:val="21"/>
        </w:rPr>
      </w:pPr>
      <w:r>
        <w:rPr>
          <w:rFonts w:ascii="微软雅黑" w:hAnsi="微软雅黑" w:eastAsia="微软雅黑" w:cs="微软雅黑"/>
          <w:color w:val="auto"/>
          <w:kern w:val="2"/>
          <w:sz w:val="21"/>
          <w:szCs w:val="21"/>
        </w:rPr>
        <w:t xml:space="preserve">     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2020年，新冠肺炎疫情发生以来，服务机器人在医疗、配送、巡检等方面大显身手，随着包括5G网络、大数据中心、人工智能在内的“新基建”按下快进键。 4月20日，国家发改委新闻发布会明确，新基建包括信息基础设施、融合基础设施和创新基础设施三方面。未来将以技术创新为驱动，以信息网络为基础，面向高质量发展需要，提供数字转型、智能升级、融合创新等服务的基础设施体系。“新基建”有望引领我国数字经济规模的强势崛起，进而推动数据中心建设规模增长。</w:t>
      </w:r>
    </w:p>
    <w:p>
      <w:pPr>
        <w:pStyle w:val="15"/>
        <w:spacing w:line="440" w:lineRule="exact"/>
        <w:ind w:firstLine="420" w:firstLineChars="200"/>
        <w:rPr>
          <w:rFonts w:ascii="微软雅黑" w:hAnsi="微软雅黑" w:eastAsia="微软雅黑" w:cs="微软雅黑"/>
          <w:color w:val="auto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2019年12月23日住建部、国家发改委正式发布的《</w:t>
      </w:r>
      <w:bookmarkStart w:id="1" w:name="_Hlk39423029"/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房屋建筑和市政基础设施项目工程总承包管理办法</w:t>
      </w:r>
      <w:bookmarkEnd w:id="1"/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》（建市规〔2019〕12号），自2020年3月1日起施行。</w:t>
      </w:r>
    </w:p>
    <w:p>
      <w:pPr>
        <w:pStyle w:val="15"/>
        <w:spacing w:line="440" w:lineRule="exact"/>
        <w:ind w:firstLine="420" w:firstLineChars="200"/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4月30日，中国证监会、国家发改委联合发布《关于推进基础设施领域不动产投资信托基金（REITs）试点相关工作的通知》，并出台配套指引。基础设施REITs此次聚焦于新基建、交通、能源、仓储物流、环境保护、信息网络、园区开发七大领域，这将会加速</w:t>
      </w:r>
      <w:r>
        <w:rPr>
          <w:rFonts w:ascii="微软雅黑" w:hAnsi="微软雅黑" w:eastAsia="微软雅黑" w:cs="微软雅黑"/>
          <w:color w:val="auto"/>
          <w:kern w:val="2"/>
          <w:sz w:val="21"/>
          <w:szCs w:val="21"/>
        </w:rPr>
        <w:t>化解地方政府债务风险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，并对 PPP项目社会资本，提出新的融资和退出渠道，至此中国版公募REITs终于迈出了实质性的一步。</w:t>
      </w:r>
    </w:p>
    <w:p>
      <w:pPr>
        <w:pStyle w:val="6"/>
        <w:shd w:val="clear" w:color="auto" w:fill="FFFFFF"/>
        <w:spacing w:before="0" w:beforeAutospacing="0" w:after="0" w:afterAutospacing="0" w:line="440" w:lineRule="exact"/>
        <w:ind w:firstLine="420" w:firstLineChars="200"/>
        <w:rPr>
          <w:color w:val="000000"/>
          <w:shd w:val="clear" w:color="auto" w:fill="EEEEEE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为进一步加强政府职能部门及各工程建设单位对新基建、基础设施REITs、EPC工程总承包系列规范及管理实务等的深入了解与应用，分享先进理念与实践经验，全面提高项目管理水平，规避项目实施风险，铭鼎人商学院联合众一线实战专家推出本次课程，具体如下：</w:t>
      </w:r>
    </w:p>
    <w:p>
      <w:pPr>
        <w:autoSpaceDE w:val="0"/>
        <w:autoSpaceDN w:val="0"/>
        <w:bidi w:val="0"/>
        <w:spacing w:before="0" w:after="0" w:line="240" w:lineRule="auto"/>
        <w:ind w:left="0" w:right="0"/>
        <w:jc w:val="left"/>
        <w:rPr>
          <w:rFonts w:hint="eastAsia" w:ascii="Microsoft JhengHei UI" w:hAnsi="Microsoft JhengHei UI" w:eastAsia="Microsoft JhengHei UI" w:cs="Microsoft JhengHei UI"/>
          <w:b/>
          <w:bCs/>
          <w:kern w:val="0"/>
          <w:sz w:val="28"/>
          <w:szCs w:val="28"/>
          <w:lang w:val="en-US" w:bidi="zh-CN"/>
        </w:rPr>
      </w:pPr>
      <w:r>
        <w:rPr>
          <w:rFonts w:hint="eastAsia" w:ascii="Microsoft JhengHei UI" w:hAnsi="Microsoft JhengHei UI" w:eastAsia="Microsoft JhengHei UI" w:cs="Microsoft JhengHei UI"/>
          <w:b/>
          <w:bCs/>
          <w:kern w:val="0"/>
          <w:sz w:val="28"/>
          <w:szCs w:val="28"/>
          <w:lang w:val="en-US" w:bidi="zh-CN"/>
        </w:rPr>
        <w:t>一、教务信息</w:t>
      </w:r>
    </w:p>
    <w:p>
      <w:pPr>
        <w:pStyle w:val="16"/>
        <w:numPr>
          <w:ilvl w:val="0"/>
          <w:numId w:val="1"/>
        </w:numPr>
        <w:tabs>
          <w:tab w:val="left" w:pos="4540"/>
        </w:tabs>
        <w:spacing w:line="400" w:lineRule="exact"/>
        <w:ind w:firstLineChars="0"/>
        <w:rPr>
          <w:rFonts w:ascii="微软雅黑" w:hAnsi="微软雅黑" w:eastAsia="微软雅黑" w:cs="微软雅黑"/>
          <w:szCs w:val="21"/>
        </w:rPr>
      </w:pPr>
      <w:r>
        <w:rPr>
          <w:rFonts w:hint="eastAsia" w:ascii="宋体" w:hAnsi="宋体" w:cs="宋体"/>
          <w:b/>
          <w:sz w:val="24"/>
          <w:szCs w:val="21"/>
        </w:rPr>
        <w:t>招生对象：</w:t>
      </w:r>
      <w:r>
        <w:rPr>
          <w:rFonts w:hint="eastAsia" w:ascii="微软雅黑" w:hAnsi="微软雅黑" w:eastAsia="微软雅黑" w:cs="微软雅黑"/>
          <w:szCs w:val="21"/>
        </w:rPr>
        <w:t>各地政府建设项目监管部门、工程交易中心、投资项目评审中心；各业主单位从事项目管理、合同管理、工程项目建设、开发、审计等相关部门人员；各建筑施工企业、工程公司、总承包公司、设计院、成套设备公司、国际招标公司、设备材料供应商、律师事务所及各公司的总经理、副总经理、部门经理、项目经理、市场开发、法务专员等相关部门负责人、参与EPC项目管理的所有管理者。</w:t>
      </w:r>
    </w:p>
    <w:p>
      <w:pPr>
        <w:tabs>
          <w:tab w:val="left" w:pos="4540"/>
        </w:tabs>
        <w:spacing w:line="400" w:lineRule="exact"/>
        <w:rPr>
          <w:rFonts w:hint="eastAsia" w:ascii="微软雅黑" w:hAnsi="微软雅黑" w:eastAsia="微软雅黑" w:cs="微软雅黑"/>
          <w:szCs w:val="21"/>
        </w:rPr>
      </w:pPr>
    </w:p>
    <w:p>
      <w:pPr>
        <w:autoSpaceDE w:val="0"/>
        <w:autoSpaceDN w:val="0"/>
        <w:bidi w:val="0"/>
        <w:spacing w:before="0" w:after="0" w:line="240" w:lineRule="auto"/>
        <w:ind w:left="0" w:right="0"/>
        <w:jc w:val="left"/>
        <w:rPr>
          <w:rFonts w:hint="eastAsia" w:ascii="Microsoft JhengHei UI" w:hAnsi="Microsoft JhengHei UI" w:eastAsia="Microsoft JhengHei UI" w:cs="Microsoft JhengHei UI"/>
          <w:b/>
          <w:bCs/>
          <w:kern w:val="0"/>
          <w:sz w:val="28"/>
          <w:szCs w:val="28"/>
          <w:lang w:val="zh-CN" w:bidi="zh-CN"/>
        </w:rPr>
      </w:pPr>
      <w:r>
        <w:rPr>
          <w:rFonts w:hint="eastAsia" w:ascii="Microsoft JhengHei UI" w:hAnsi="Microsoft JhengHei UI" w:eastAsia="Microsoft JhengHei UI" w:cs="Microsoft JhengHei UI"/>
          <w:b/>
          <w:bCs/>
          <w:kern w:val="0"/>
          <w:sz w:val="28"/>
          <w:szCs w:val="28"/>
          <w:lang w:val="en-US" w:bidi="zh-CN"/>
        </w:rPr>
        <w:t>二、</w:t>
      </w:r>
      <w:r>
        <w:rPr>
          <w:rFonts w:hint="eastAsia" w:ascii="Microsoft JhengHei UI" w:hAnsi="Microsoft JhengHei UI" w:eastAsia="Microsoft JhengHei UI" w:cs="Microsoft JhengHei UI"/>
          <w:b/>
          <w:bCs/>
          <w:kern w:val="0"/>
          <w:sz w:val="28"/>
          <w:szCs w:val="28"/>
          <w:lang w:val="zh-CN" w:bidi="zh-CN"/>
        </w:rPr>
        <w:t>主讲内容</w:t>
      </w:r>
    </w:p>
    <w:p>
      <w:pPr>
        <w:pStyle w:val="16"/>
        <w:widowControl/>
        <w:numPr>
          <w:ilvl w:val="0"/>
          <w:numId w:val="2"/>
        </w:numPr>
        <w:spacing w:line="360" w:lineRule="exact"/>
        <w:ind w:firstLineChars="0"/>
        <w:rPr>
          <w:rFonts w:ascii="微软雅黑" w:hAnsi="微软雅黑" w:eastAsia="微软雅黑"/>
          <w:b/>
          <w:bCs/>
          <w:szCs w:val="21"/>
        </w:rPr>
      </w:pPr>
      <w:r>
        <w:rPr>
          <w:rFonts w:hint="eastAsia" w:ascii="微软雅黑" w:hAnsi="微软雅黑" w:eastAsia="微软雅黑"/>
          <w:b/>
          <w:bCs/>
          <w:szCs w:val="21"/>
        </w:rPr>
        <w:t>新基建最新产业政策及发展机遇</w:t>
      </w:r>
    </w:p>
    <w:p>
      <w:pPr>
        <w:pStyle w:val="16"/>
        <w:widowControl/>
        <w:numPr>
          <w:ilvl w:val="0"/>
          <w:numId w:val="3"/>
        </w:numPr>
        <w:spacing w:line="36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2020年新形势、新政策；</w:t>
      </w:r>
    </w:p>
    <w:p>
      <w:pPr>
        <w:pStyle w:val="16"/>
        <w:widowControl/>
        <w:numPr>
          <w:ilvl w:val="0"/>
          <w:numId w:val="3"/>
        </w:numPr>
        <w:spacing w:line="36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近期热点与长远趋势；</w:t>
      </w:r>
    </w:p>
    <w:p>
      <w:pPr>
        <w:pStyle w:val="16"/>
        <w:widowControl/>
        <w:numPr>
          <w:ilvl w:val="0"/>
          <w:numId w:val="3"/>
        </w:numPr>
        <w:spacing w:line="36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新基建与专项债；</w:t>
      </w:r>
    </w:p>
    <w:p>
      <w:pPr>
        <w:pStyle w:val="16"/>
        <w:widowControl/>
        <w:numPr>
          <w:ilvl w:val="0"/>
          <w:numId w:val="3"/>
        </w:numPr>
        <w:spacing w:line="36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政府投资与企业投资；</w:t>
      </w:r>
    </w:p>
    <w:p>
      <w:pPr>
        <w:pStyle w:val="16"/>
        <w:widowControl/>
        <w:numPr>
          <w:ilvl w:val="0"/>
          <w:numId w:val="3"/>
        </w:numPr>
        <w:spacing w:line="36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EPC工程总承包；</w:t>
      </w:r>
    </w:p>
    <w:p>
      <w:pPr>
        <w:pStyle w:val="16"/>
        <w:widowControl/>
        <w:numPr>
          <w:ilvl w:val="0"/>
          <w:numId w:val="3"/>
        </w:numPr>
        <w:spacing w:line="36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PPP项目绩效管理与争议解决；</w:t>
      </w:r>
    </w:p>
    <w:p>
      <w:pPr>
        <w:pStyle w:val="16"/>
        <w:widowControl/>
        <w:numPr>
          <w:ilvl w:val="0"/>
          <w:numId w:val="2"/>
        </w:numPr>
        <w:spacing w:line="360" w:lineRule="exact"/>
        <w:ind w:firstLineChars="0"/>
        <w:rPr>
          <w:rFonts w:ascii="微软雅黑" w:hAnsi="微软雅黑" w:eastAsia="微软雅黑"/>
          <w:b/>
          <w:bCs/>
          <w:szCs w:val="21"/>
        </w:rPr>
      </w:pPr>
      <w:r>
        <w:rPr>
          <w:rFonts w:hint="eastAsia" w:ascii="微软雅黑" w:hAnsi="微软雅黑" w:eastAsia="微软雅黑"/>
          <w:b/>
          <w:bCs/>
          <w:szCs w:val="21"/>
        </w:rPr>
        <w:t>基础设施公募REITs实务操作与案例分析</w:t>
      </w:r>
    </w:p>
    <w:p>
      <w:pPr>
        <w:widowControl/>
        <w:spacing w:line="360" w:lineRule="exact"/>
        <w:ind w:firstLine="420" w:firstLineChars="20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1. REITs概念及基本特征</w:t>
      </w:r>
    </w:p>
    <w:p>
      <w:pPr>
        <w:widowControl/>
        <w:spacing w:line="360" w:lineRule="exac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     </w:t>
      </w:r>
      <w:r>
        <w:rPr>
          <w:rFonts w:ascii="微软雅黑" w:hAnsi="微软雅黑" w:eastAsia="微软雅黑"/>
          <w:szCs w:val="21"/>
        </w:rPr>
        <w:t xml:space="preserve"> </w:t>
      </w:r>
      <w:r>
        <w:rPr>
          <w:rFonts w:hint="eastAsia" w:ascii="微软雅黑" w:hAnsi="微软雅黑" w:eastAsia="微软雅黑"/>
          <w:szCs w:val="21"/>
        </w:rPr>
        <w:t>2.基础设施公募REITs试点政策解读</w:t>
      </w:r>
    </w:p>
    <w:p>
      <w:pPr>
        <w:widowControl/>
        <w:spacing w:line="360" w:lineRule="exac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     </w:t>
      </w:r>
      <w:r>
        <w:rPr>
          <w:rFonts w:ascii="微软雅黑" w:hAnsi="微软雅黑" w:eastAsia="微软雅黑"/>
          <w:szCs w:val="21"/>
        </w:rPr>
        <w:t xml:space="preserve"> </w:t>
      </w:r>
      <w:r>
        <w:rPr>
          <w:rFonts w:hint="eastAsia" w:ascii="微软雅黑" w:hAnsi="微软雅黑" w:eastAsia="微软雅黑"/>
          <w:szCs w:val="21"/>
        </w:rPr>
        <w:t>3. REITs组织形式和交易结构</w:t>
      </w:r>
    </w:p>
    <w:p>
      <w:pPr>
        <w:widowControl/>
        <w:spacing w:line="360" w:lineRule="exac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     </w:t>
      </w:r>
      <w:r>
        <w:rPr>
          <w:rFonts w:ascii="微软雅黑" w:hAnsi="微软雅黑" w:eastAsia="微软雅黑"/>
          <w:szCs w:val="21"/>
        </w:rPr>
        <w:t xml:space="preserve"> </w:t>
      </w:r>
      <w:r>
        <w:rPr>
          <w:rFonts w:hint="eastAsia" w:ascii="微软雅黑" w:hAnsi="微软雅黑" w:eastAsia="微软雅黑"/>
          <w:szCs w:val="21"/>
        </w:rPr>
        <w:t>4. REITs国内外市场概述</w:t>
      </w:r>
    </w:p>
    <w:p>
      <w:pPr>
        <w:widowControl/>
        <w:spacing w:line="360" w:lineRule="exac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 xml:space="preserve">    5.REITs适用行业和资产类型</w:t>
      </w:r>
    </w:p>
    <w:p>
      <w:pPr>
        <w:widowControl/>
        <w:spacing w:line="360" w:lineRule="exac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    </w:t>
      </w:r>
      <w:r>
        <w:rPr>
          <w:rFonts w:ascii="微软雅黑" w:hAnsi="微软雅黑" w:eastAsia="微软雅黑"/>
          <w:szCs w:val="21"/>
        </w:rPr>
        <w:t xml:space="preserve"> </w:t>
      </w:r>
      <w:r>
        <w:rPr>
          <w:rFonts w:hint="eastAsia" w:ascii="微软雅黑" w:hAnsi="微软雅黑" w:eastAsia="微软雅黑"/>
          <w:szCs w:val="21"/>
        </w:rPr>
        <w:t> 6. 基础设施REITs审批和发行流程</w:t>
      </w:r>
    </w:p>
    <w:p>
      <w:pPr>
        <w:widowControl/>
        <w:spacing w:line="360" w:lineRule="exac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     </w:t>
      </w:r>
      <w:r>
        <w:rPr>
          <w:rFonts w:ascii="微软雅黑" w:hAnsi="微软雅黑" w:eastAsia="微软雅黑"/>
          <w:szCs w:val="21"/>
        </w:rPr>
        <w:t xml:space="preserve"> </w:t>
      </w:r>
      <w:r>
        <w:rPr>
          <w:rFonts w:hint="eastAsia" w:ascii="微软雅黑" w:hAnsi="微软雅黑" w:eastAsia="微软雅黑"/>
          <w:szCs w:val="21"/>
        </w:rPr>
        <w:t>7. REITs给市场各方带来的新机会</w:t>
      </w:r>
    </w:p>
    <w:p>
      <w:pPr>
        <w:widowControl/>
        <w:spacing w:line="360" w:lineRule="exac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     </w:t>
      </w:r>
      <w:r>
        <w:rPr>
          <w:rFonts w:ascii="微软雅黑" w:hAnsi="微软雅黑" w:eastAsia="微软雅黑"/>
          <w:szCs w:val="21"/>
        </w:rPr>
        <w:t xml:space="preserve"> </w:t>
      </w:r>
      <w:r>
        <w:rPr>
          <w:rFonts w:hint="eastAsia" w:ascii="微软雅黑" w:hAnsi="微软雅黑" w:eastAsia="微软雅黑"/>
          <w:szCs w:val="21"/>
        </w:rPr>
        <w:t>8.沪杭甬徽杭高速资产支持专项计划案例</w:t>
      </w:r>
    </w:p>
    <w:p>
      <w:pPr>
        <w:pStyle w:val="16"/>
        <w:widowControl/>
        <w:numPr>
          <w:ilvl w:val="0"/>
          <w:numId w:val="2"/>
        </w:numPr>
        <w:spacing w:line="360" w:lineRule="exact"/>
        <w:ind w:firstLineChars="0"/>
        <w:rPr>
          <w:rFonts w:ascii="微软雅黑" w:hAnsi="微软雅黑" w:eastAsia="微软雅黑"/>
          <w:b/>
          <w:bCs/>
          <w:szCs w:val="21"/>
        </w:rPr>
      </w:pPr>
      <w:r>
        <w:rPr>
          <w:rFonts w:hint="eastAsia" w:ascii="微软雅黑" w:hAnsi="微软雅黑" w:eastAsia="微软雅黑"/>
          <w:b/>
          <w:bCs/>
          <w:szCs w:val="21"/>
        </w:rPr>
        <w:t>工程总承包法律风险识别与防范</w:t>
      </w:r>
    </w:p>
    <w:p>
      <w:pPr>
        <w:pStyle w:val="16"/>
        <w:widowControl/>
        <w:numPr>
          <w:ilvl w:val="0"/>
          <w:numId w:val="4"/>
        </w:numPr>
        <w:spacing w:line="36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EPC工程总承包合同的核心风险识别与防范；</w:t>
      </w:r>
    </w:p>
    <w:p>
      <w:pPr>
        <w:pStyle w:val="16"/>
        <w:widowControl/>
        <w:numPr>
          <w:ilvl w:val="0"/>
          <w:numId w:val="4"/>
        </w:numPr>
        <w:spacing w:line="36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谈判策略及风险关注要点；</w:t>
      </w:r>
    </w:p>
    <w:p>
      <w:pPr>
        <w:pStyle w:val="16"/>
        <w:widowControl/>
        <w:numPr>
          <w:ilvl w:val="0"/>
          <w:numId w:val="4"/>
        </w:numPr>
        <w:spacing w:line="36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发包、再发包、分包阶段合同风险识别防范；</w:t>
      </w:r>
    </w:p>
    <w:p>
      <w:pPr>
        <w:pStyle w:val="16"/>
        <w:widowControl/>
        <w:numPr>
          <w:ilvl w:val="0"/>
          <w:numId w:val="4"/>
        </w:numPr>
        <w:spacing w:line="36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EPC履约工期风险和风险控制；</w:t>
      </w:r>
    </w:p>
    <w:p>
      <w:pPr>
        <w:pStyle w:val="16"/>
        <w:widowControl/>
        <w:numPr>
          <w:ilvl w:val="0"/>
          <w:numId w:val="4"/>
        </w:numPr>
        <w:spacing w:line="36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工程总承包（EPC）工程变更、索赔技巧与风险控制；</w:t>
      </w:r>
    </w:p>
    <w:p>
      <w:pPr>
        <w:pStyle w:val="16"/>
        <w:widowControl/>
        <w:numPr>
          <w:ilvl w:val="0"/>
          <w:numId w:val="4"/>
        </w:numPr>
        <w:spacing w:line="36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工程总承包项目税务风险及防范措施；</w:t>
      </w:r>
    </w:p>
    <w:p>
      <w:pPr>
        <w:pStyle w:val="16"/>
        <w:widowControl/>
        <w:numPr>
          <w:ilvl w:val="0"/>
          <w:numId w:val="2"/>
        </w:numPr>
        <w:spacing w:line="360" w:lineRule="exact"/>
        <w:ind w:firstLineChars="0"/>
        <w:rPr>
          <w:rFonts w:ascii="微软雅黑" w:hAnsi="微软雅黑" w:eastAsia="微软雅黑"/>
          <w:b/>
          <w:bCs/>
          <w:szCs w:val="21"/>
        </w:rPr>
      </w:pPr>
      <w:r>
        <w:rPr>
          <w:rFonts w:hint="eastAsia" w:ascii="微软雅黑" w:hAnsi="微软雅黑" w:eastAsia="微软雅黑"/>
          <w:b/>
          <w:bCs/>
          <w:szCs w:val="21"/>
        </w:rPr>
        <w:t>工程总承包招投标常见问题及解析</w:t>
      </w:r>
    </w:p>
    <w:p>
      <w:pPr>
        <w:widowControl/>
        <w:spacing w:line="360" w:lineRule="exact"/>
        <w:ind w:firstLine="420" w:firstLineChars="200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1.项目立项可研批复阶段的工程总承包发包</w:t>
      </w:r>
    </w:p>
    <w:p>
      <w:pPr>
        <w:widowControl/>
        <w:spacing w:line="360" w:lineRule="exact"/>
        <w:ind w:firstLine="420" w:firstLineChars="200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2.必须招标项目采用工程总承包可否直接发包</w:t>
      </w:r>
    </w:p>
    <w:p>
      <w:pPr>
        <w:widowControl/>
        <w:spacing w:line="360" w:lineRule="exact"/>
        <w:ind w:firstLine="420" w:firstLineChars="200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3.工程总承包商的资质要求</w:t>
      </w:r>
    </w:p>
    <w:p>
      <w:pPr>
        <w:widowControl/>
        <w:spacing w:line="360" w:lineRule="exact"/>
        <w:ind w:firstLine="420" w:firstLineChars="200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4.工程总承包的计价方式</w:t>
      </w:r>
    </w:p>
    <w:p>
      <w:pPr>
        <w:widowControl/>
        <w:spacing w:line="360" w:lineRule="exact"/>
        <w:ind w:firstLine="420" w:firstLineChars="200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5.前期设计服务企业是否可以参加工程总承包的投标</w:t>
      </w:r>
    </w:p>
    <w:p>
      <w:pPr>
        <w:widowControl/>
        <w:spacing w:line="360" w:lineRule="exact"/>
        <w:ind w:firstLine="420" w:firstLineChars="200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6.招标文件、投标文件、中标文件、工程合同在招投标过程中的效力的认定及法律原则</w:t>
      </w:r>
    </w:p>
    <w:p>
      <w:pPr>
        <w:pStyle w:val="16"/>
        <w:widowControl/>
        <w:numPr>
          <w:ilvl w:val="0"/>
          <w:numId w:val="2"/>
        </w:numPr>
        <w:spacing w:line="360" w:lineRule="exact"/>
        <w:ind w:firstLineChars="0"/>
        <w:rPr>
          <w:rFonts w:ascii="微软雅黑" w:hAnsi="微软雅黑" w:eastAsia="微软雅黑"/>
          <w:b/>
          <w:bCs/>
          <w:szCs w:val="21"/>
        </w:rPr>
      </w:pPr>
      <w:r>
        <w:rPr>
          <w:rFonts w:ascii="微软雅黑" w:hAnsi="微软雅黑" w:eastAsia="微软雅黑"/>
          <w:b/>
          <w:bCs/>
          <w:szCs w:val="21"/>
        </w:rPr>
        <w:t>EPC工程总承包项目管理</w:t>
      </w:r>
      <w:r>
        <w:rPr>
          <w:rFonts w:hint="eastAsia" w:ascii="微软雅黑" w:hAnsi="微软雅黑" w:eastAsia="微软雅黑"/>
          <w:b/>
          <w:bCs/>
          <w:szCs w:val="21"/>
        </w:rPr>
        <w:t>实务</w:t>
      </w:r>
      <w:r>
        <w:rPr>
          <w:rFonts w:hint="eastAsia" w:ascii="微软雅黑" w:hAnsi="微软雅黑" w:eastAsia="微软雅黑"/>
          <w:b/>
          <w:bCs/>
          <w:szCs w:val="21"/>
          <w:lang w:val="en-US" w:eastAsia="zh-CN"/>
        </w:rPr>
        <w:t>与案例</w:t>
      </w:r>
    </w:p>
    <w:p>
      <w:pPr>
        <w:pStyle w:val="16"/>
        <w:widowControl/>
        <w:numPr>
          <w:ilvl w:val="0"/>
          <w:numId w:val="5"/>
        </w:numPr>
        <w:spacing w:line="36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工程总承包主要模式适用的项目类型及特点；</w:t>
      </w:r>
    </w:p>
    <w:p>
      <w:pPr>
        <w:pStyle w:val="16"/>
        <w:widowControl/>
        <w:numPr>
          <w:ilvl w:val="0"/>
          <w:numId w:val="5"/>
        </w:numPr>
        <w:spacing w:line="36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 xml:space="preserve">工程总承包项目管理流程及管控要点； </w:t>
      </w:r>
    </w:p>
    <w:p>
      <w:pPr>
        <w:pStyle w:val="16"/>
        <w:widowControl/>
        <w:numPr>
          <w:ilvl w:val="0"/>
          <w:numId w:val="5"/>
        </w:numPr>
        <w:spacing w:line="36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工程总承包项目决策阶段的管理（包括招标管理）；</w:t>
      </w:r>
    </w:p>
    <w:p>
      <w:pPr>
        <w:pStyle w:val="16"/>
        <w:widowControl/>
        <w:numPr>
          <w:ilvl w:val="0"/>
          <w:numId w:val="5"/>
        </w:numPr>
        <w:spacing w:line="36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工程总承包项目启动、策划阶段管控要点；</w:t>
      </w:r>
    </w:p>
    <w:p>
      <w:pPr>
        <w:pStyle w:val="16"/>
        <w:widowControl/>
        <w:numPr>
          <w:ilvl w:val="0"/>
          <w:numId w:val="5"/>
        </w:numPr>
        <w:spacing w:line="36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工程总承包项目勘察设计阶段的管控要点；</w:t>
      </w:r>
    </w:p>
    <w:p>
      <w:pPr>
        <w:pStyle w:val="16"/>
        <w:widowControl/>
        <w:numPr>
          <w:ilvl w:val="0"/>
          <w:numId w:val="5"/>
        </w:numPr>
        <w:spacing w:line="36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工程总承包项目采购阶段的管控要点；</w:t>
      </w:r>
    </w:p>
    <w:p>
      <w:pPr>
        <w:pStyle w:val="16"/>
        <w:widowControl/>
        <w:numPr>
          <w:ilvl w:val="0"/>
          <w:numId w:val="5"/>
        </w:numPr>
        <w:spacing w:line="36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工程总承包项目施工、试运行阶段的管控要点；</w:t>
      </w:r>
    </w:p>
    <w:p>
      <w:pPr>
        <w:pStyle w:val="16"/>
        <w:widowControl/>
        <w:numPr>
          <w:ilvl w:val="0"/>
          <w:numId w:val="5"/>
        </w:numPr>
        <w:spacing w:line="36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工程总承包项目收尾及关闭、移交阶段的管理；</w:t>
      </w:r>
    </w:p>
    <w:p>
      <w:pPr>
        <w:pStyle w:val="16"/>
        <w:widowControl/>
        <w:numPr>
          <w:ilvl w:val="0"/>
          <w:numId w:val="5"/>
        </w:numPr>
        <w:spacing w:line="36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工程总承包相关问题解答。</w:t>
      </w:r>
    </w:p>
    <w:p>
      <w:pPr>
        <w:pStyle w:val="16"/>
        <w:widowControl/>
        <w:numPr>
          <w:ilvl w:val="0"/>
          <w:numId w:val="2"/>
        </w:numPr>
        <w:spacing w:line="360" w:lineRule="exact"/>
        <w:ind w:firstLineChars="0"/>
        <w:rPr>
          <w:rFonts w:ascii="微软雅黑" w:hAnsi="微软雅黑" w:eastAsia="微软雅黑"/>
          <w:b/>
          <w:bCs/>
          <w:szCs w:val="21"/>
        </w:rPr>
      </w:pPr>
      <w:r>
        <w:rPr>
          <w:rFonts w:hint="eastAsia" w:ascii="微软雅黑" w:hAnsi="微软雅黑" w:eastAsia="微软雅黑"/>
          <w:b/>
          <w:bCs/>
          <w:szCs w:val="21"/>
        </w:rPr>
        <w:t>EPC工程总承包项目策划与绩效管理</w:t>
      </w:r>
    </w:p>
    <w:p>
      <w:pPr>
        <w:pStyle w:val="16"/>
        <w:widowControl/>
        <w:numPr>
          <w:ilvl w:val="0"/>
          <w:numId w:val="6"/>
        </w:numPr>
        <w:spacing w:line="36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总承包管理五大能力；</w:t>
      </w:r>
    </w:p>
    <w:p>
      <w:pPr>
        <w:pStyle w:val="16"/>
        <w:widowControl/>
        <w:numPr>
          <w:ilvl w:val="0"/>
          <w:numId w:val="6"/>
        </w:numPr>
        <w:spacing w:line="36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新型总分包关系；</w:t>
      </w:r>
    </w:p>
    <w:p>
      <w:pPr>
        <w:pStyle w:val="16"/>
        <w:widowControl/>
        <w:numPr>
          <w:ilvl w:val="0"/>
          <w:numId w:val="6"/>
        </w:numPr>
        <w:spacing w:line="36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E</w:t>
      </w:r>
      <w:r>
        <w:rPr>
          <w:rFonts w:ascii="微软雅黑" w:hAnsi="微软雅黑" w:eastAsia="微软雅黑"/>
          <w:szCs w:val="21"/>
        </w:rPr>
        <w:t>PC</w:t>
      </w:r>
      <w:r>
        <w:rPr>
          <w:rFonts w:hint="eastAsia" w:ascii="微软雅黑" w:hAnsi="微软雅黑" w:eastAsia="微软雅黑"/>
          <w:szCs w:val="21"/>
        </w:rPr>
        <w:t>招采管理；</w:t>
      </w:r>
    </w:p>
    <w:p>
      <w:pPr>
        <w:pStyle w:val="16"/>
        <w:widowControl/>
        <w:numPr>
          <w:ilvl w:val="0"/>
          <w:numId w:val="6"/>
        </w:numPr>
        <w:spacing w:line="36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E</w:t>
      </w:r>
      <w:r>
        <w:rPr>
          <w:rFonts w:ascii="微软雅黑" w:hAnsi="微软雅黑" w:eastAsia="微软雅黑"/>
          <w:szCs w:val="21"/>
        </w:rPr>
        <w:t>PC</w:t>
      </w:r>
      <w:r>
        <w:rPr>
          <w:rFonts w:hint="eastAsia" w:ascii="微软雅黑" w:hAnsi="微软雅黑" w:eastAsia="微软雅黑"/>
          <w:szCs w:val="21"/>
        </w:rPr>
        <w:t>项目策划管理关键过程；</w:t>
      </w:r>
    </w:p>
    <w:p>
      <w:pPr>
        <w:pStyle w:val="16"/>
        <w:widowControl/>
        <w:numPr>
          <w:ilvl w:val="0"/>
          <w:numId w:val="6"/>
        </w:numPr>
        <w:spacing w:line="36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E</w:t>
      </w:r>
      <w:r>
        <w:rPr>
          <w:rFonts w:ascii="微软雅黑" w:hAnsi="微软雅黑" w:eastAsia="微软雅黑"/>
          <w:szCs w:val="21"/>
        </w:rPr>
        <w:t>PC</w:t>
      </w:r>
      <w:r>
        <w:rPr>
          <w:rFonts w:hint="eastAsia" w:ascii="微软雅黑" w:hAnsi="微软雅黑" w:eastAsia="微软雅黑"/>
          <w:szCs w:val="21"/>
        </w:rPr>
        <w:t>绩效管理评价准则；</w:t>
      </w:r>
    </w:p>
    <w:p>
      <w:pPr>
        <w:pStyle w:val="16"/>
        <w:widowControl/>
        <w:numPr>
          <w:ilvl w:val="0"/>
          <w:numId w:val="6"/>
        </w:numPr>
        <w:spacing w:line="36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过程实施案例——BIM管理；</w:t>
      </w:r>
    </w:p>
    <w:p>
      <w:pPr>
        <w:widowControl/>
        <w:spacing w:line="360" w:lineRule="exact"/>
        <w:rPr>
          <w:rFonts w:ascii="微软雅黑" w:hAnsi="微软雅黑" w:eastAsia="微软雅黑"/>
          <w:b/>
          <w:bCs/>
          <w:szCs w:val="21"/>
        </w:rPr>
      </w:pPr>
      <w:r>
        <w:rPr>
          <w:rFonts w:hint="eastAsia" w:ascii="微软雅黑" w:hAnsi="微软雅黑" w:eastAsia="微软雅黑"/>
          <w:b/>
          <w:bCs/>
          <w:szCs w:val="21"/>
        </w:rPr>
        <w:t>（七）全过程工程咨询控制要点及操作</w:t>
      </w:r>
    </w:p>
    <w:p>
      <w:pPr>
        <w:widowControl/>
        <w:spacing w:line="360" w:lineRule="exact"/>
        <w:ind w:firstLine="42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1. 全过程工程咨询的相关政策规定；</w:t>
      </w:r>
    </w:p>
    <w:p>
      <w:pPr>
        <w:widowControl/>
        <w:spacing w:line="360" w:lineRule="exact"/>
        <w:ind w:firstLine="42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2. 全过程工程咨询市场的发展方向；</w:t>
      </w:r>
    </w:p>
    <w:p>
      <w:pPr>
        <w:widowControl/>
        <w:spacing w:line="360" w:lineRule="exact"/>
        <w:ind w:firstLine="42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3. 全过程工程咨询模式的优势；</w:t>
      </w:r>
    </w:p>
    <w:p>
      <w:pPr>
        <w:widowControl/>
        <w:spacing w:line="360" w:lineRule="exact"/>
        <w:ind w:firstLine="42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4. 全过程工程咨询要求；</w:t>
      </w:r>
    </w:p>
    <w:p>
      <w:pPr>
        <w:widowControl/>
        <w:spacing w:line="360" w:lineRule="exact"/>
        <w:ind w:firstLine="42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5. 全过程工程咨询单位的招标采购；</w:t>
      </w:r>
    </w:p>
    <w:p>
      <w:pPr>
        <w:widowControl/>
        <w:spacing w:line="360" w:lineRule="exact"/>
        <w:ind w:firstLine="420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6. 项目的全过程咨询步骤及案例。</w:t>
      </w:r>
    </w:p>
    <w:p>
      <w:pPr>
        <w:autoSpaceDE w:val="0"/>
        <w:autoSpaceDN w:val="0"/>
        <w:bidi w:val="0"/>
        <w:spacing w:before="0" w:after="0" w:line="240" w:lineRule="auto"/>
        <w:ind w:left="0" w:right="0"/>
        <w:jc w:val="left"/>
        <w:rPr>
          <w:rFonts w:hint="eastAsia" w:ascii="Microsoft JhengHei UI" w:hAnsi="Microsoft JhengHei UI" w:eastAsia="Microsoft JhengHei UI" w:cs="Microsoft JhengHei UI"/>
          <w:b/>
          <w:bCs/>
          <w:kern w:val="0"/>
          <w:sz w:val="28"/>
          <w:szCs w:val="28"/>
          <w:lang w:val="zh-CN" w:bidi="zh-CN"/>
        </w:rPr>
      </w:pPr>
    </w:p>
    <w:p>
      <w:pPr>
        <w:autoSpaceDE w:val="0"/>
        <w:autoSpaceDN w:val="0"/>
        <w:bidi w:val="0"/>
        <w:spacing w:before="0" w:after="0" w:line="240" w:lineRule="auto"/>
        <w:ind w:left="0" w:right="0"/>
        <w:jc w:val="left"/>
        <w:rPr>
          <w:rFonts w:hint="default" w:ascii="Microsoft JhengHei UI" w:hAnsi="Microsoft JhengHei UI" w:eastAsia="Microsoft JhengHei UI" w:cs="Microsoft JhengHei UI"/>
          <w:b/>
          <w:bCs/>
          <w:kern w:val="0"/>
          <w:sz w:val="28"/>
          <w:szCs w:val="28"/>
          <w:lang w:val="en-US" w:eastAsia="zh-CN" w:bidi="zh-CN"/>
        </w:rPr>
      </w:pPr>
      <w:r>
        <w:rPr>
          <w:rFonts w:hint="eastAsia" w:ascii="Microsoft JhengHei UI" w:hAnsi="Microsoft JhengHei UI" w:eastAsia="Microsoft JhengHei UI" w:cs="Microsoft JhengHei UI"/>
          <w:b/>
          <w:bCs/>
          <w:kern w:val="0"/>
          <w:sz w:val="28"/>
          <w:szCs w:val="28"/>
          <w:lang w:val="zh-CN" w:bidi="zh-CN"/>
        </w:rPr>
        <w:t>三、</w:t>
      </w:r>
      <w:r>
        <w:rPr>
          <w:rFonts w:hint="eastAsia" w:ascii="Microsoft JhengHei UI" w:hAnsi="Microsoft JhengHei UI" w:eastAsia="Microsoft JhengHei UI" w:cs="Microsoft JhengHei UI"/>
          <w:b/>
          <w:bCs/>
          <w:kern w:val="0"/>
          <w:sz w:val="28"/>
          <w:szCs w:val="28"/>
          <w:lang w:val="en-US" w:eastAsia="zh-CN" w:bidi="zh-CN"/>
        </w:rPr>
        <w:t>专家团队（部分）</w:t>
      </w:r>
    </w:p>
    <w:p>
      <w:pPr>
        <w:tabs>
          <w:tab w:val="left" w:pos="4540"/>
        </w:tabs>
        <w:spacing w:line="400" w:lineRule="exact"/>
        <w:rPr>
          <w:rFonts w:ascii="微软雅黑" w:hAnsi="微软雅黑" w:eastAsia="微软雅黑" w:cs="宋体"/>
          <w:szCs w:val="21"/>
        </w:rPr>
      </w:pPr>
      <w:r>
        <w:rPr>
          <w:rFonts w:hint="eastAsia" w:ascii="微软雅黑" w:hAnsi="微软雅黑" w:eastAsia="微软雅黑" w:cs="宋体"/>
          <w:b/>
          <w:sz w:val="24"/>
        </w:rPr>
        <w:t xml:space="preserve">张 </w:t>
      </w:r>
      <w:r>
        <w:rPr>
          <w:rFonts w:ascii="微软雅黑" w:hAnsi="微软雅黑" w:eastAsia="微软雅黑" w:cs="宋体"/>
          <w:b/>
          <w:sz w:val="24"/>
        </w:rPr>
        <w:t xml:space="preserve"> </w:t>
      </w:r>
      <w:r>
        <w:rPr>
          <w:rFonts w:hint="eastAsia" w:ascii="微软雅黑" w:hAnsi="微软雅黑" w:eastAsia="微软雅黑" w:cs="宋体"/>
          <w:b/>
          <w:sz w:val="24"/>
        </w:rPr>
        <w:t>鹏：</w:t>
      </w:r>
      <w:r>
        <w:rPr>
          <w:rFonts w:hint="eastAsia" w:ascii="微软雅黑" w:hAnsi="微软雅黑" w:eastAsia="微软雅黑" w:cs="宋体"/>
          <w:szCs w:val="21"/>
        </w:rPr>
        <w:t xml:space="preserve"> 财政部财政科学研究院研究院，经济学博士。</w:t>
      </w:r>
    </w:p>
    <w:p>
      <w:pPr>
        <w:tabs>
          <w:tab w:val="left" w:pos="4540"/>
        </w:tabs>
        <w:spacing w:line="400" w:lineRule="exact"/>
        <w:rPr>
          <w:rFonts w:ascii="微软雅黑" w:hAnsi="微软雅黑" w:eastAsia="微软雅黑" w:cs="宋体"/>
          <w:szCs w:val="21"/>
        </w:rPr>
      </w:pPr>
      <w:r>
        <w:rPr>
          <w:rFonts w:hint="eastAsia" w:ascii="微软雅黑" w:hAnsi="微软雅黑" w:eastAsia="微软雅黑" w:cs="宋体"/>
          <w:b/>
          <w:sz w:val="24"/>
        </w:rPr>
        <w:t xml:space="preserve">王守清： </w:t>
      </w:r>
      <w:r>
        <w:rPr>
          <w:rFonts w:hint="eastAsia" w:ascii="微软雅黑" w:hAnsi="微软雅黑" w:eastAsia="微软雅黑" w:cs="宋体"/>
          <w:szCs w:val="21"/>
        </w:rPr>
        <w:t>清华大学建设管理系教授/博导，清华大学PPP研究中心首席专家，“中国PPP教父”。</w:t>
      </w:r>
    </w:p>
    <w:p>
      <w:pPr>
        <w:tabs>
          <w:tab w:val="left" w:pos="4540"/>
        </w:tabs>
        <w:spacing w:line="400" w:lineRule="exact"/>
        <w:rPr>
          <w:rFonts w:hint="eastAsia" w:ascii="微软雅黑" w:hAnsi="微软雅黑" w:eastAsia="微软雅黑" w:cs="宋体"/>
          <w:szCs w:val="21"/>
        </w:rPr>
      </w:pPr>
      <w:r>
        <w:rPr>
          <w:rFonts w:hint="eastAsia" w:ascii="微软雅黑" w:hAnsi="微软雅黑" w:eastAsia="微软雅黑" w:cs="宋体"/>
          <w:b/>
          <w:sz w:val="24"/>
        </w:rPr>
        <w:t>马小丁</w:t>
      </w:r>
      <w:r>
        <w:rPr>
          <w:rFonts w:hint="eastAsia" w:ascii="微软雅黑" w:hAnsi="微软雅黑" w:eastAsia="微软雅黑" w:cs="宋体"/>
          <w:szCs w:val="21"/>
        </w:rPr>
        <w:t>：现任国家发展和改革委员会投资研究所项目管理研究室主任，副研究员。</w:t>
      </w:r>
    </w:p>
    <w:p>
      <w:pPr>
        <w:tabs>
          <w:tab w:val="left" w:pos="4540"/>
        </w:tabs>
        <w:spacing w:line="400" w:lineRule="exact"/>
        <w:rPr>
          <w:rFonts w:hint="eastAsia" w:ascii="微软雅黑" w:hAnsi="微软雅黑" w:eastAsia="微软雅黑" w:cs="宋体"/>
          <w:szCs w:val="21"/>
        </w:rPr>
      </w:pPr>
      <w:r>
        <w:rPr>
          <w:rFonts w:hint="eastAsia" w:ascii="微软雅黑" w:hAnsi="微软雅黑" w:eastAsia="微软雅黑" w:cs="宋体"/>
          <w:b/>
          <w:sz w:val="24"/>
        </w:rPr>
        <w:t>李  森：</w:t>
      </w:r>
      <w:r>
        <w:rPr>
          <w:rFonts w:hint="eastAsia" w:ascii="微软雅黑" w:hAnsi="微软雅黑" w:eastAsia="微软雅黑" w:cs="宋体"/>
          <w:szCs w:val="21"/>
        </w:rPr>
        <w:t xml:space="preserve"> 中国寰球工程有限公司原安全副总监，教授级高工。中国勘察设计协会质量管理专家，国标GB/T 50358-2017《建设项目工程总承包管理规范》主要起草人、主编专家。</w:t>
      </w:r>
    </w:p>
    <w:p>
      <w:pPr>
        <w:tabs>
          <w:tab w:val="left" w:pos="4540"/>
        </w:tabs>
        <w:spacing w:line="400" w:lineRule="exact"/>
        <w:rPr>
          <w:rFonts w:hint="eastAsia" w:ascii="微软雅黑" w:hAnsi="微软雅黑" w:eastAsia="微软雅黑" w:cs="宋体"/>
          <w:szCs w:val="21"/>
        </w:rPr>
      </w:pPr>
      <w:r>
        <w:rPr>
          <w:rFonts w:hint="eastAsia" w:ascii="微软雅黑" w:hAnsi="微软雅黑" w:eastAsia="微软雅黑" w:cs="宋体"/>
          <w:b/>
          <w:sz w:val="24"/>
        </w:rPr>
        <w:t>杨荣南：</w:t>
      </w:r>
      <w:r>
        <w:rPr>
          <w:rFonts w:hint="eastAsia" w:ascii="微软雅黑" w:hAnsi="微软雅黑" w:eastAsia="微软雅黑" w:cs="宋体"/>
          <w:szCs w:val="21"/>
        </w:rPr>
        <w:t xml:space="preserve">国家发改委PPP专家，高级工程师，现任世界500强骨干企业副总经济师兼投资公司总经理、多个PPP项目SPV董事、董监事。 </w:t>
      </w:r>
    </w:p>
    <w:p>
      <w:pPr>
        <w:tabs>
          <w:tab w:val="left" w:pos="4540"/>
        </w:tabs>
        <w:spacing w:line="400" w:lineRule="exact"/>
        <w:rPr>
          <w:rFonts w:hint="eastAsia" w:ascii="微软雅黑" w:hAnsi="微软雅黑" w:eastAsia="微软雅黑" w:cs="宋体"/>
          <w:szCs w:val="21"/>
        </w:rPr>
      </w:pPr>
      <w:r>
        <w:rPr>
          <w:rFonts w:hint="eastAsia" w:ascii="微软雅黑" w:hAnsi="微软雅黑" w:eastAsia="微软雅黑" w:cs="宋体"/>
          <w:b/>
          <w:sz w:val="24"/>
        </w:rPr>
        <w:t>田  威：</w:t>
      </w:r>
      <w:r>
        <w:rPr>
          <w:rFonts w:hint="eastAsia" w:ascii="微软雅黑" w:hAnsi="微软雅黑" w:eastAsia="微软雅黑" w:cs="宋体"/>
          <w:szCs w:val="21"/>
        </w:rPr>
        <w:t>教授级高级工程师，中国对外工程承包商会专家委员会国际工程专家，曾任中信国际合作公司总经理，对国际项目通用的FIDIC合同条件有深入的研究。</w:t>
      </w:r>
    </w:p>
    <w:p>
      <w:pPr>
        <w:tabs>
          <w:tab w:val="left" w:pos="4540"/>
        </w:tabs>
        <w:spacing w:line="400" w:lineRule="exact"/>
        <w:rPr>
          <w:rFonts w:hint="default" w:ascii="微软雅黑" w:hAnsi="微软雅黑" w:eastAsia="微软雅黑" w:cs="宋体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b/>
          <w:sz w:val="24"/>
        </w:rPr>
        <w:t>孙雁翎：</w:t>
      </w:r>
      <w:r>
        <w:rPr>
          <w:rFonts w:hint="eastAsia" w:ascii="微软雅黑" w:hAnsi="微软雅黑" w:eastAsia="微软雅黑" w:cs="宋体"/>
          <w:szCs w:val="21"/>
        </w:rPr>
        <w:t>铭鼎人商学院特聘专家，清华大学特聘讲师，中国对外承包工程商会行业专家，</w:t>
      </w:r>
      <w:r>
        <w:rPr>
          <w:rFonts w:hint="eastAsia" w:ascii="微软雅黑" w:hAnsi="微软雅黑" w:eastAsia="微软雅黑" w:cs="宋体"/>
          <w:szCs w:val="21"/>
          <w:lang w:val="en-US" w:eastAsia="zh-CN"/>
        </w:rPr>
        <w:t>中国科学院研究生院工程教育学院行业导师。</w:t>
      </w:r>
      <w:r>
        <w:rPr>
          <w:rFonts w:hint="eastAsia" w:ascii="微软雅黑" w:hAnsi="微软雅黑" w:eastAsia="微软雅黑" w:cs="宋体"/>
          <w:szCs w:val="21"/>
        </w:rPr>
        <w:t>曾任职</w:t>
      </w:r>
      <w:r>
        <w:rPr>
          <w:rFonts w:hint="eastAsia" w:ascii="微软雅黑" w:hAnsi="微软雅黑" w:eastAsia="微软雅黑" w:cs="宋体"/>
          <w:szCs w:val="21"/>
          <w:lang w:val="en-US" w:eastAsia="zh-CN"/>
        </w:rPr>
        <w:t>某</w:t>
      </w:r>
      <w:r>
        <w:rPr>
          <w:rFonts w:hint="eastAsia" w:ascii="微软雅黑" w:hAnsi="微软雅黑" w:eastAsia="微软雅黑" w:cs="宋体"/>
          <w:szCs w:val="21"/>
        </w:rPr>
        <w:t>央企集团</w:t>
      </w:r>
      <w:r>
        <w:rPr>
          <w:rFonts w:hint="eastAsia" w:ascii="微软雅黑" w:hAnsi="微软雅黑" w:eastAsia="微软雅黑" w:cs="宋体"/>
          <w:szCs w:val="21"/>
          <w:lang w:eastAsia="zh-CN"/>
        </w:rPr>
        <w:t>，</w:t>
      </w:r>
      <w:r>
        <w:rPr>
          <w:rFonts w:hint="eastAsia" w:ascii="微软雅黑" w:hAnsi="微软雅黑" w:eastAsia="微软雅黑" w:cs="宋体"/>
          <w:szCs w:val="21"/>
        </w:rPr>
        <w:t>20多年国际、国内土木工程、安装工程项目管理经验</w:t>
      </w:r>
      <w:r>
        <w:rPr>
          <w:rFonts w:hint="eastAsia" w:ascii="微软雅黑" w:hAnsi="微软雅黑" w:eastAsia="微软雅黑" w:cs="宋体"/>
          <w:szCs w:val="21"/>
          <w:lang w:eastAsia="zh-CN"/>
        </w:rPr>
        <w:t>（</w:t>
      </w:r>
      <w:r>
        <w:rPr>
          <w:rFonts w:hint="eastAsia" w:ascii="微软雅黑" w:hAnsi="微软雅黑" w:eastAsia="微软雅黑" w:cs="宋体"/>
          <w:szCs w:val="21"/>
          <w:lang w:val="en-US" w:eastAsia="zh-CN"/>
        </w:rPr>
        <w:t>非洲、中东、东南亚</w:t>
      </w:r>
      <w:r>
        <w:rPr>
          <w:rFonts w:hint="eastAsia" w:ascii="微软雅黑" w:hAnsi="微软雅黑" w:eastAsia="微软雅黑" w:cs="宋体"/>
          <w:szCs w:val="21"/>
          <w:lang w:eastAsia="zh-CN"/>
        </w:rPr>
        <w:t>）</w:t>
      </w:r>
      <w:r>
        <w:rPr>
          <w:rFonts w:hint="eastAsia" w:ascii="微软雅黑" w:hAnsi="微软雅黑" w:eastAsia="微软雅黑" w:cs="宋体"/>
          <w:szCs w:val="21"/>
          <w:lang w:val="en-US" w:eastAsia="zh-CN"/>
        </w:rPr>
        <w:t>及十年的项目管理培训咨询经验。</w:t>
      </w:r>
    </w:p>
    <w:p>
      <w:pPr>
        <w:tabs>
          <w:tab w:val="left" w:pos="4540"/>
        </w:tabs>
        <w:spacing w:line="400" w:lineRule="exact"/>
        <w:rPr>
          <w:rFonts w:hint="eastAsia" w:ascii="微软雅黑" w:hAnsi="微软雅黑" w:eastAsia="微软雅黑" w:cs="宋体"/>
          <w:szCs w:val="21"/>
        </w:rPr>
      </w:pPr>
      <w:r>
        <w:rPr>
          <w:rFonts w:hint="eastAsia" w:ascii="微软雅黑" w:hAnsi="微软雅黑" w:eastAsia="微软雅黑" w:cs="宋体"/>
          <w:b/>
          <w:sz w:val="24"/>
        </w:rPr>
        <w:t>曹  珊：</w:t>
      </w:r>
      <w:r>
        <w:rPr>
          <w:rFonts w:hint="eastAsia" w:ascii="微软雅黑" w:hAnsi="微软雅黑" w:eastAsia="微软雅黑" w:cs="宋体"/>
          <w:szCs w:val="21"/>
        </w:rPr>
        <w:t>国家财政部PPP中心专家库首批法律专家，上海市建纬律师事务所副主任、高级合伙人、同时拥有土建高级工程师、国家土建一级建造师、造价工程师、项目分析师、IPMP国际工程高级（B）项目经理资格。</w:t>
      </w:r>
    </w:p>
    <w:p>
      <w:pPr>
        <w:tabs>
          <w:tab w:val="left" w:pos="4540"/>
        </w:tabs>
        <w:spacing w:line="400" w:lineRule="exact"/>
        <w:rPr>
          <w:rFonts w:hint="eastAsia" w:ascii="微软雅黑" w:hAnsi="微软雅黑" w:eastAsia="微软雅黑" w:cs="宋体"/>
          <w:szCs w:val="21"/>
        </w:rPr>
      </w:pPr>
      <w:r>
        <w:rPr>
          <w:rFonts w:hint="eastAsia" w:ascii="微软雅黑" w:hAnsi="微软雅黑" w:eastAsia="微软雅黑" w:cs="宋体"/>
          <w:b/>
          <w:sz w:val="24"/>
        </w:rPr>
        <w:t>尹  昱：</w:t>
      </w:r>
      <w:r>
        <w:rPr>
          <w:rFonts w:hint="eastAsia" w:ascii="微软雅黑" w:hAnsi="微软雅黑" w:eastAsia="微软雅黑" w:cs="宋体"/>
          <w:szCs w:val="21"/>
          <w:lang w:val="en-US" w:eastAsia="zh-CN"/>
        </w:rPr>
        <w:t>美国德克萨斯州立大学MBA，曾在香港投资银行建银国际工作，现为国家发改委和财政部PPP双库专家、某国有银行</w:t>
      </w:r>
      <w:r>
        <w:rPr>
          <w:rFonts w:hint="eastAsia" w:ascii="微软雅黑" w:hAnsi="微软雅黑" w:eastAsia="微软雅黑" w:cs="宋体"/>
          <w:szCs w:val="21"/>
        </w:rPr>
        <w:t>总行级精品课程培训师、亚洲开发银行注册咨询师，</w:t>
      </w:r>
      <w:r>
        <w:rPr>
          <w:rFonts w:hint="eastAsia" w:ascii="微软雅黑" w:hAnsi="微软雅黑" w:eastAsia="微软雅黑" w:cs="宋体"/>
          <w:szCs w:val="21"/>
          <w:lang w:val="en-US" w:eastAsia="zh-CN"/>
        </w:rPr>
        <w:t>财政投资评审专家，</w:t>
      </w:r>
      <w:r>
        <w:rPr>
          <w:rFonts w:hint="eastAsia" w:ascii="微软雅黑" w:hAnsi="微软雅黑" w:eastAsia="微软雅黑" w:cs="宋体"/>
          <w:szCs w:val="21"/>
        </w:rPr>
        <w:t>国内金融业最早从事PPP项目的融资人员。</w:t>
      </w:r>
    </w:p>
    <w:p>
      <w:pPr>
        <w:tabs>
          <w:tab w:val="left" w:pos="4540"/>
        </w:tabs>
        <w:spacing w:line="400" w:lineRule="exact"/>
        <w:rPr>
          <w:rFonts w:hint="eastAsia" w:ascii="微软雅黑" w:hAnsi="微软雅黑" w:eastAsia="微软雅黑" w:cs="宋体"/>
          <w:szCs w:val="21"/>
        </w:rPr>
      </w:pPr>
      <w:r>
        <w:rPr>
          <w:rFonts w:hint="eastAsia" w:ascii="微软雅黑" w:hAnsi="微软雅黑" w:eastAsia="微软雅黑" w:cs="宋体"/>
          <w:b/>
          <w:sz w:val="24"/>
        </w:rPr>
        <w:t>王洪秀：</w:t>
      </w:r>
      <w:r>
        <w:rPr>
          <w:rFonts w:hint="eastAsia" w:ascii="微软雅黑" w:hAnsi="微软雅黑" w:eastAsia="微软雅黑" w:cs="宋体"/>
          <w:szCs w:val="21"/>
        </w:rPr>
        <w:t>现任央企高管，教授级高级工程师，全国现场管理评审员，组织研发的《基于卓越绩效模式的全面管理体系建设》成果获全国建筑企业现代化管理创新成果一等奖。</w:t>
      </w:r>
    </w:p>
    <w:p>
      <w:pPr>
        <w:tabs>
          <w:tab w:val="left" w:pos="4540"/>
        </w:tabs>
        <w:spacing w:line="400" w:lineRule="exact"/>
        <w:rPr>
          <w:rFonts w:hint="eastAsia" w:ascii="微软雅黑" w:hAnsi="微软雅黑" w:eastAsia="微软雅黑" w:cs="宋体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b/>
          <w:sz w:val="24"/>
          <w:lang w:val="en-US" w:eastAsia="zh-CN"/>
        </w:rPr>
        <w:t>茹博军：</w:t>
      </w:r>
      <w:r>
        <w:rPr>
          <w:rFonts w:hint="eastAsia" w:ascii="微软雅黑" w:hAnsi="微软雅黑" w:eastAsia="微软雅黑" w:cs="宋体"/>
          <w:szCs w:val="21"/>
          <w:lang w:val="en-US" w:eastAsia="zh-CN"/>
        </w:rPr>
        <w:t xml:space="preserve"> 教授级高级工程师，国阳工程咨询公司董事长，北京铭鼎人首席咨询师</w:t>
      </w:r>
    </w:p>
    <w:p>
      <w:pPr>
        <w:tabs>
          <w:tab w:val="left" w:pos="4540"/>
        </w:tabs>
        <w:spacing w:line="400" w:lineRule="exact"/>
        <w:rPr>
          <w:rFonts w:hint="eastAsia" w:ascii="微软雅黑" w:hAnsi="微软雅黑" w:eastAsia="微软雅黑" w:cs="宋体"/>
          <w:szCs w:val="21"/>
        </w:rPr>
      </w:pPr>
      <w:r>
        <w:rPr>
          <w:rFonts w:hint="eastAsia" w:ascii="微软雅黑" w:hAnsi="微软雅黑" w:eastAsia="微软雅黑" w:cs="宋体"/>
          <w:b/>
          <w:sz w:val="24"/>
          <w:lang w:val="en-US" w:eastAsia="zh-CN"/>
        </w:rPr>
        <w:t>陈迎昌：</w:t>
      </w:r>
      <w:r>
        <w:rPr>
          <w:rFonts w:hint="eastAsia" w:ascii="微软雅黑" w:hAnsi="微软雅黑" w:eastAsia="微软雅黑" w:cs="宋体"/>
          <w:szCs w:val="21"/>
        </w:rPr>
        <w:t>实战型央企建筑工程高层领导，25年+从业经历，教授级高级工程师。</w:t>
      </w:r>
    </w:p>
    <w:p>
      <w:pPr>
        <w:spacing w:line="480" w:lineRule="auto"/>
        <w:rPr>
          <w:rFonts w:hint="eastAsia" w:ascii="微软雅黑" w:hAnsi="微软雅黑" w:eastAsia="微软雅黑" w:cs="宋体"/>
          <w:b/>
          <w:bCs/>
          <w:sz w:val="28"/>
          <w:szCs w:val="36"/>
        </w:rPr>
      </w:pPr>
      <w:r>
        <w:rPr>
          <w:rFonts w:hint="eastAsia" w:ascii="微软雅黑" w:hAnsi="微软雅黑" w:eastAsia="微软雅黑" w:cs="宋体"/>
          <w:b/>
          <w:bCs/>
          <w:sz w:val="28"/>
          <w:szCs w:val="36"/>
        </w:rPr>
        <w:t>四、主办单位简介</w:t>
      </w:r>
    </w:p>
    <w:p>
      <w:pPr>
        <w:spacing w:before="156" w:beforeLines="50" w:line="400" w:lineRule="exact"/>
        <w:rPr>
          <w:rFonts w:hint="eastAsia" w:ascii="微软雅黑" w:hAnsi="微软雅黑" w:eastAsia="微软雅黑" w:cs="宋体"/>
          <w:lang w:val="en-US" w:eastAsia="zh-CN"/>
        </w:rPr>
      </w:pPr>
      <w:r>
        <w:rPr>
          <w:rFonts w:hint="eastAsia" w:ascii="微软雅黑" w:hAnsi="微软雅黑" w:eastAsia="微软雅黑" w:cs="宋体"/>
          <w:lang w:val="en-US" w:eastAsia="zh-CN"/>
        </w:rPr>
        <w:t>北京铭鼎人教育咨询有限公司（简称铭鼎人），由清华大学校友创办于 2009 年，国家级高新企业。</w:t>
      </w:r>
    </w:p>
    <w:p>
      <w:pPr>
        <w:spacing w:before="156" w:beforeLines="50" w:line="400" w:lineRule="exact"/>
        <w:rPr>
          <w:rFonts w:hint="eastAsia" w:ascii="微软雅黑" w:hAnsi="微软雅黑" w:eastAsia="微软雅黑" w:cs="宋体"/>
        </w:rPr>
      </w:pPr>
      <w:r>
        <w:rPr>
          <w:rFonts w:hint="eastAsia" w:ascii="微软雅黑" w:hAnsi="微软雅黑" w:eastAsia="微软雅黑" w:cs="宋体"/>
          <w:lang w:val="en-US" w:eastAsia="zh-CN"/>
        </w:rPr>
        <w:t>“文章立事须铭鼎，谈笑论功耻据鞍”。铭鼎人自诞生之日，紧随清华品牌，服务于清华大学继续教育学院、清华大学深圳研究生院。铭鼎人谨奉“自强不息、厚德载物”清华之精神，承接完成多个央企、地方</w:t>
      </w:r>
      <w:r>
        <w:rPr>
          <w:rFonts w:hint="eastAsia" w:ascii="微软雅黑" w:hAnsi="微软雅黑" w:eastAsia="微软雅黑" w:cs="宋体"/>
        </w:rPr>
        <w:t>政府委托培训。</w:t>
      </w:r>
    </w:p>
    <w:p>
      <w:pPr>
        <w:spacing w:line="500" w:lineRule="exact"/>
        <w:jc w:val="both"/>
        <w:rPr>
          <w:rFonts w:hint="eastAsia" w:ascii="华文隶书" w:hAnsi="华文隶书" w:eastAsia="华文隶书" w:cs="华文隶书"/>
          <w:b w:val="0"/>
          <w:bCs/>
          <w:color w:val="FF0000"/>
          <w:kern w:val="0"/>
          <w:sz w:val="36"/>
          <w:szCs w:val="36"/>
        </w:rPr>
      </w:pPr>
    </w:p>
    <w:p>
      <w:pPr>
        <w:pStyle w:val="15"/>
        <w:spacing w:line="600" w:lineRule="exact"/>
        <w:jc w:val="center"/>
        <w:rPr>
          <w:rFonts w:hint="eastAsia" w:ascii="宋体" w:hAnsi="宋体" w:eastAsia="宋体" w:cs="宋体"/>
          <w:b w:val="0"/>
          <w:bCs/>
          <w:color w:val="FF0000"/>
          <w:kern w:val="0"/>
          <w:sz w:val="36"/>
          <w:szCs w:val="36"/>
          <w:lang w:val="en-US" w:eastAsia="zh-CN" w:bidi="ar-SA"/>
        </w:rPr>
      </w:pPr>
    </w:p>
    <w:p>
      <w:pPr>
        <w:pStyle w:val="15"/>
        <w:spacing w:line="600" w:lineRule="exact"/>
        <w:jc w:val="center"/>
        <w:rPr>
          <w:rFonts w:hint="eastAsia" w:ascii="宋体" w:hAnsi="宋体" w:eastAsia="宋体" w:cs="宋体"/>
          <w:b w:val="0"/>
          <w:bCs/>
          <w:color w:val="FF0000"/>
          <w:kern w:val="0"/>
          <w:sz w:val="36"/>
          <w:szCs w:val="36"/>
          <w:lang w:val="en-US" w:eastAsia="zh-CN" w:bidi="ar-SA"/>
        </w:rPr>
      </w:pPr>
    </w:p>
    <w:p>
      <w:pPr>
        <w:pStyle w:val="15"/>
        <w:spacing w:line="600" w:lineRule="exact"/>
        <w:jc w:val="center"/>
        <w:rPr>
          <w:rFonts w:hint="eastAsia" w:ascii="宋体" w:hAnsi="宋体" w:eastAsia="宋体" w:cs="宋体"/>
          <w:b w:val="0"/>
          <w:bCs/>
          <w:color w:val="FF0000"/>
          <w:kern w:val="0"/>
          <w:sz w:val="36"/>
          <w:szCs w:val="36"/>
          <w:lang w:val="en-US" w:eastAsia="zh-CN" w:bidi="ar-SA"/>
        </w:rPr>
      </w:pPr>
    </w:p>
    <w:p>
      <w:pPr>
        <w:pStyle w:val="15"/>
        <w:spacing w:line="600" w:lineRule="exact"/>
        <w:jc w:val="center"/>
        <w:rPr>
          <w:rFonts w:hint="eastAsia" w:ascii="宋体" w:hAnsi="宋体" w:eastAsia="宋体" w:cs="宋体"/>
          <w:b w:val="0"/>
          <w:bCs/>
          <w:color w:val="FF0000"/>
          <w:kern w:val="0"/>
          <w:sz w:val="36"/>
          <w:szCs w:val="36"/>
          <w:lang w:val="en-US" w:eastAsia="zh-CN" w:bidi="ar-SA"/>
        </w:rPr>
      </w:pPr>
    </w:p>
    <w:p>
      <w:pPr>
        <w:pStyle w:val="15"/>
        <w:spacing w:line="600" w:lineRule="exact"/>
        <w:jc w:val="center"/>
        <w:rPr>
          <w:rFonts w:hint="eastAsia" w:ascii="宋体" w:hAnsi="宋体" w:eastAsia="宋体" w:cs="宋体"/>
          <w:b w:val="0"/>
          <w:bCs/>
          <w:color w:val="FF0000"/>
          <w:kern w:val="0"/>
          <w:sz w:val="36"/>
          <w:szCs w:val="36"/>
          <w:lang w:val="en-US" w:eastAsia="zh-CN" w:bidi="ar-SA"/>
        </w:rPr>
      </w:pPr>
    </w:p>
    <w:p>
      <w:pPr>
        <w:pStyle w:val="15"/>
        <w:spacing w:line="600" w:lineRule="exact"/>
        <w:jc w:val="center"/>
        <w:rPr>
          <w:rFonts w:hint="eastAsia" w:ascii="宋体" w:hAnsi="宋体" w:eastAsia="宋体" w:cs="宋体"/>
          <w:b w:val="0"/>
          <w:bCs/>
          <w:color w:val="FF0000"/>
          <w:kern w:val="0"/>
          <w:sz w:val="36"/>
          <w:szCs w:val="36"/>
          <w:lang w:val="en-US" w:eastAsia="zh-CN" w:bidi="ar-SA"/>
        </w:rPr>
      </w:pPr>
    </w:p>
    <w:p>
      <w:pPr>
        <w:pStyle w:val="15"/>
        <w:spacing w:line="600" w:lineRule="exact"/>
        <w:jc w:val="center"/>
        <w:rPr>
          <w:rFonts w:hint="eastAsia" w:ascii="宋体" w:hAnsi="宋体" w:eastAsia="宋体" w:cs="宋体"/>
          <w:b w:val="0"/>
          <w:bCs/>
          <w:color w:val="FF0000"/>
          <w:kern w:val="0"/>
          <w:sz w:val="36"/>
          <w:szCs w:val="36"/>
          <w:lang w:val="en-US" w:eastAsia="zh-CN" w:bidi="ar-SA"/>
        </w:rPr>
      </w:pPr>
    </w:p>
    <w:p>
      <w:pPr>
        <w:pStyle w:val="15"/>
        <w:spacing w:line="600" w:lineRule="exact"/>
        <w:jc w:val="center"/>
        <w:rPr>
          <w:rFonts w:hint="eastAsia" w:ascii="宋体" w:hAnsi="宋体" w:eastAsia="宋体" w:cs="宋体"/>
          <w:b w:val="0"/>
          <w:bCs/>
          <w:color w:val="FF0000"/>
          <w:kern w:val="0"/>
          <w:sz w:val="36"/>
          <w:szCs w:val="36"/>
          <w:lang w:val="en-US" w:eastAsia="zh-CN" w:bidi="ar-SA"/>
        </w:rPr>
      </w:pPr>
    </w:p>
    <w:p>
      <w:pPr>
        <w:pStyle w:val="15"/>
        <w:spacing w:line="600" w:lineRule="exact"/>
        <w:jc w:val="center"/>
        <w:rPr>
          <w:rFonts w:hint="eastAsia" w:ascii="宋体" w:hAnsi="宋体" w:eastAsia="宋体" w:cs="宋体"/>
          <w:b w:val="0"/>
          <w:bCs/>
          <w:color w:val="FF0000"/>
          <w:kern w:val="0"/>
          <w:sz w:val="36"/>
          <w:szCs w:val="36"/>
          <w:lang w:val="en-US" w:eastAsia="zh-CN" w:bidi="ar-SA"/>
        </w:rPr>
      </w:pPr>
    </w:p>
    <w:p>
      <w:pPr>
        <w:pStyle w:val="15"/>
        <w:spacing w:line="600" w:lineRule="exact"/>
        <w:jc w:val="center"/>
        <w:rPr>
          <w:rFonts w:hint="eastAsia" w:ascii="宋体" w:hAnsi="宋体" w:eastAsia="宋体" w:cs="宋体"/>
          <w:b w:val="0"/>
          <w:bCs/>
          <w:color w:val="FF0000"/>
          <w:kern w:val="0"/>
          <w:sz w:val="36"/>
          <w:szCs w:val="36"/>
          <w:lang w:val="en-US" w:eastAsia="zh-CN" w:bidi="ar-SA"/>
        </w:rPr>
      </w:pPr>
    </w:p>
    <w:p>
      <w:pPr>
        <w:pStyle w:val="15"/>
        <w:spacing w:line="600" w:lineRule="exact"/>
        <w:jc w:val="center"/>
        <w:rPr>
          <w:rFonts w:hint="eastAsia" w:ascii="宋体" w:hAnsi="宋体" w:eastAsia="宋体" w:cs="宋体"/>
          <w:b w:val="0"/>
          <w:bCs/>
          <w:color w:val="FF0000"/>
          <w:kern w:val="0"/>
          <w:sz w:val="36"/>
          <w:szCs w:val="36"/>
          <w:lang w:val="en-US" w:eastAsia="zh-CN" w:bidi="ar-SA"/>
        </w:rPr>
      </w:pPr>
    </w:p>
    <w:p>
      <w:pPr>
        <w:pStyle w:val="15"/>
        <w:spacing w:line="600" w:lineRule="exact"/>
        <w:jc w:val="center"/>
        <w:rPr>
          <w:rFonts w:hint="eastAsia" w:ascii="宋体" w:hAnsi="宋体" w:eastAsia="宋体" w:cs="宋体"/>
          <w:b w:val="0"/>
          <w:bCs/>
          <w:color w:val="FF0000"/>
          <w:kern w:val="0"/>
          <w:sz w:val="36"/>
          <w:szCs w:val="36"/>
          <w:lang w:val="en-US" w:eastAsia="zh-CN" w:bidi="ar-SA"/>
        </w:rPr>
      </w:pPr>
    </w:p>
    <w:p>
      <w:pPr>
        <w:pStyle w:val="15"/>
        <w:spacing w:line="600" w:lineRule="exact"/>
        <w:jc w:val="center"/>
        <w:rPr>
          <w:rFonts w:hint="eastAsia" w:ascii="宋体" w:hAnsi="宋体" w:eastAsia="宋体" w:cs="宋体"/>
          <w:b w:val="0"/>
          <w:bCs/>
          <w:color w:val="FF0000"/>
          <w:kern w:val="0"/>
          <w:sz w:val="36"/>
          <w:szCs w:val="36"/>
          <w:lang w:val="en-US" w:eastAsia="zh-CN" w:bidi="ar-SA"/>
        </w:rPr>
      </w:pPr>
    </w:p>
    <w:p>
      <w:pPr>
        <w:pStyle w:val="15"/>
        <w:spacing w:line="600" w:lineRule="exact"/>
        <w:jc w:val="center"/>
        <w:rPr>
          <w:rFonts w:hint="eastAsia" w:ascii="宋体" w:hAnsi="宋体" w:eastAsia="宋体" w:cs="宋体"/>
          <w:b w:val="0"/>
          <w:bCs/>
          <w:color w:val="FF0000"/>
          <w:kern w:val="0"/>
          <w:sz w:val="36"/>
          <w:szCs w:val="36"/>
          <w:lang w:val="en-US" w:eastAsia="zh-CN" w:bidi="ar-SA"/>
        </w:rPr>
      </w:pPr>
    </w:p>
    <w:p>
      <w:pPr>
        <w:pStyle w:val="15"/>
        <w:spacing w:line="600" w:lineRule="exact"/>
        <w:jc w:val="center"/>
        <w:rPr>
          <w:rFonts w:hint="eastAsia" w:ascii="宋体" w:hAnsi="宋体" w:eastAsia="宋体" w:cs="宋体"/>
          <w:b w:val="0"/>
          <w:bCs/>
          <w:color w:val="FF0000"/>
          <w:kern w:val="0"/>
          <w:sz w:val="36"/>
          <w:szCs w:val="36"/>
          <w:lang w:val="en-US" w:eastAsia="zh-CN" w:bidi="ar-SA"/>
        </w:rPr>
      </w:pPr>
    </w:p>
    <w:p>
      <w:pPr>
        <w:pStyle w:val="15"/>
        <w:spacing w:line="600" w:lineRule="exact"/>
        <w:jc w:val="center"/>
        <w:rPr>
          <w:rFonts w:hint="eastAsia" w:ascii="宋体" w:hAnsi="宋体" w:eastAsia="宋体" w:cs="宋体"/>
          <w:b w:val="0"/>
          <w:bCs/>
          <w:color w:val="FF0000"/>
          <w:kern w:val="0"/>
          <w:sz w:val="36"/>
          <w:szCs w:val="36"/>
          <w:lang w:val="en-US" w:eastAsia="zh-CN" w:bidi="ar-SA"/>
        </w:rPr>
      </w:pPr>
    </w:p>
    <w:p>
      <w:pPr>
        <w:pStyle w:val="15"/>
        <w:spacing w:line="600" w:lineRule="exact"/>
        <w:jc w:val="center"/>
        <w:rPr>
          <w:rFonts w:hint="eastAsia" w:ascii="宋体" w:hAnsi="宋体" w:eastAsia="宋体" w:cs="宋体"/>
          <w:b w:val="0"/>
          <w:bCs/>
          <w:color w:val="FF0000"/>
          <w:kern w:val="0"/>
          <w:sz w:val="36"/>
          <w:szCs w:val="36"/>
          <w:lang w:val="en-US" w:eastAsia="zh-CN" w:bidi="ar-SA"/>
        </w:rPr>
      </w:pPr>
    </w:p>
    <w:p>
      <w:pPr>
        <w:pStyle w:val="15"/>
        <w:spacing w:line="600" w:lineRule="exact"/>
        <w:jc w:val="center"/>
        <w:rPr>
          <w:rFonts w:hint="eastAsia" w:ascii="华文隶书" w:hAnsi="华文隶书" w:eastAsia="华文隶书" w:cs="华文隶书"/>
          <w:b w:val="0"/>
          <w:bCs/>
          <w:color w:val="FF0000"/>
          <w:kern w:val="0"/>
          <w:sz w:val="36"/>
          <w:szCs w:val="36"/>
          <w:lang w:eastAsia="zh-CN"/>
        </w:rPr>
      </w:pPr>
      <w:r>
        <w:rPr>
          <w:rFonts w:hint="eastAsia" w:ascii="华文隶书" w:hAnsi="华文隶书" w:eastAsia="华文隶书" w:cs="华文隶书"/>
          <w:b w:val="0"/>
          <w:bCs/>
          <w:color w:val="FF0000"/>
          <w:kern w:val="0"/>
          <w:sz w:val="36"/>
          <w:szCs w:val="36"/>
          <w:lang w:val="en-US" w:eastAsia="zh-CN" w:bidi="ar-SA"/>
        </w:rPr>
        <w:t>EPC工程总承包与全过程工程咨询</w:t>
      </w:r>
      <w:r>
        <w:rPr>
          <w:rFonts w:hint="eastAsia" w:ascii="华文隶书" w:hAnsi="华文隶书" w:eastAsia="华文隶书" w:cs="华文隶书"/>
          <w:b w:val="0"/>
          <w:bCs/>
          <w:color w:val="FF0000"/>
          <w:kern w:val="0"/>
          <w:sz w:val="36"/>
          <w:szCs w:val="36"/>
        </w:rPr>
        <w:t>实战型高级研讨班</w:t>
      </w:r>
      <w:r>
        <w:rPr>
          <w:rFonts w:hint="eastAsia" w:ascii="华文隶书" w:hAnsi="华文隶书" w:eastAsia="华文隶书" w:cs="华文隶书"/>
          <w:b w:val="0"/>
          <w:bCs/>
          <w:color w:val="FF0000"/>
          <w:kern w:val="0"/>
          <w:sz w:val="36"/>
          <w:szCs w:val="36"/>
          <w:lang w:eastAsia="zh-CN"/>
        </w:rPr>
        <w:t>（</w:t>
      </w:r>
      <w:r>
        <w:rPr>
          <w:rFonts w:hint="eastAsia" w:ascii="华文隶书" w:hAnsi="华文隶书" w:eastAsia="华文隶书" w:cs="华文隶书"/>
          <w:b w:val="0"/>
          <w:bCs/>
          <w:color w:val="FF0000"/>
          <w:kern w:val="0"/>
          <w:sz w:val="36"/>
          <w:szCs w:val="36"/>
          <w:lang w:val="en-US" w:eastAsia="zh-CN"/>
        </w:rPr>
        <w:t>52期</w:t>
      </w:r>
      <w:r>
        <w:rPr>
          <w:rFonts w:hint="eastAsia" w:ascii="华文隶书" w:hAnsi="华文隶书" w:eastAsia="华文隶书" w:cs="华文隶书"/>
          <w:b w:val="0"/>
          <w:bCs/>
          <w:color w:val="FF0000"/>
          <w:kern w:val="0"/>
          <w:sz w:val="36"/>
          <w:szCs w:val="36"/>
          <w:lang w:eastAsia="zh-CN"/>
        </w:rPr>
        <w:t>）</w:t>
      </w:r>
    </w:p>
    <w:p>
      <w:pPr>
        <w:spacing w:line="500" w:lineRule="exact"/>
        <w:jc w:val="center"/>
        <w:rPr>
          <w:rFonts w:hint="eastAsia" w:ascii="华文隶书" w:hAnsi="华文隶书" w:eastAsia="华文隶书" w:cs="华文隶书"/>
          <w:b w:val="0"/>
          <w:bCs/>
          <w:color w:val="FF0000"/>
          <w:kern w:val="0"/>
          <w:sz w:val="36"/>
          <w:szCs w:val="36"/>
        </w:rPr>
      </w:pPr>
      <w:r>
        <w:rPr>
          <w:rFonts w:hint="eastAsia" w:ascii="华文隶书" w:hAnsi="华文隶书" w:eastAsia="华文隶书" w:cs="华文隶书"/>
          <w:b w:val="0"/>
          <w:bCs/>
          <w:color w:val="FF0000"/>
          <w:kern w:val="0"/>
          <w:sz w:val="36"/>
          <w:szCs w:val="36"/>
        </w:rPr>
        <w:t>报名表</w:t>
      </w:r>
    </w:p>
    <w:p>
      <w:pPr>
        <w:spacing w:line="500" w:lineRule="exact"/>
        <w:jc w:val="center"/>
        <w:rPr>
          <w:rFonts w:ascii="宋体" w:hAnsi="宋体" w:cs="宋体"/>
          <w:b/>
          <w:kern w:val="0"/>
          <w:sz w:val="36"/>
          <w:szCs w:val="44"/>
        </w:rPr>
      </w:pPr>
    </w:p>
    <w:tbl>
      <w:tblPr>
        <w:tblStyle w:val="7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745"/>
        <w:gridCol w:w="1240"/>
        <w:gridCol w:w="1559"/>
        <w:gridCol w:w="1559"/>
        <w:gridCol w:w="993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color w:val="FF0000"/>
              </w:rPr>
              <w:t>*</w:t>
            </w:r>
            <w:r>
              <w:rPr>
                <w:rFonts w:hint="eastAsia" w:ascii="宋体" w:hAnsi="宋体" w:cs="宋体"/>
              </w:rPr>
              <w:t>单位名称</w:t>
            </w:r>
          </w:p>
        </w:tc>
        <w:tc>
          <w:tcPr>
            <w:tcW w:w="510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传真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通讯地址</w:t>
            </w:r>
          </w:p>
        </w:tc>
        <w:tc>
          <w:tcPr>
            <w:tcW w:w="510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邮编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color w:val="FF0000"/>
              </w:rPr>
              <w:t>*</w:t>
            </w:r>
            <w:r>
              <w:rPr>
                <w:rFonts w:hint="eastAsia" w:ascii="宋体" w:hAnsi="宋体" w:cs="宋体"/>
              </w:rPr>
              <w:t>学员姓名</w:t>
            </w:r>
          </w:p>
        </w:tc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12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color w:val="FF0000"/>
              </w:rPr>
              <w:t>*</w:t>
            </w:r>
            <w:r>
              <w:rPr>
                <w:rFonts w:hint="eastAsia" w:ascii="宋体" w:hAnsi="宋体" w:cs="宋体"/>
              </w:rPr>
              <w:t>职务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color w:val="FF0000"/>
              </w:rPr>
              <w:t>*</w:t>
            </w:r>
            <w:r>
              <w:rPr>
                <w:rFonts w:hint="eastAsia" w:ascii="宋体" w:hAnsi="宋体" w:cs="宋体"/>
              </w:rPr>
              <w:t>手机号码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color w:val="FF0000"/>
              </w:rPr>
              <w:t>*</w:t>
            </w:r>
            <w:r>
              <w:rPr>
                <w:rFonts w:hint="eastAsia" w:ascii="宋体" w:hAnsi="宋体" w:cs="宋体"/>
              </w:rPr>
              <w:t>身份证号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color w:val="FF0000"/>
              </w:rPr>
              <w:t>*</w:t>
            </w:r>
            <w:r>
              <w:rPr>
                <w:rFonts w:hint="eastAsia" w:ascii="宋体" w:hAnsi="宋体" w:cs="宋体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 w:cs="宋体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560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</w:rPr>
            </w:pPr>
          </w:p>
        </w:tc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560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</w:rPr>
            </w:pPr>
          </w:p>
        </w:tc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560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</w:rPr>
            </w:pPr>
          </w:p>
        </w:tc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1560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  <w:bCs/>
              </w:rPr>
              <w:t>企业简介</w:t>
            </w:r>
          </w:p>
        </w:tc>
        <w:tc>
          <w:tcPr>
            <w:tcW w:w="8222" w:type="dxa"/>
            <w:gridSpan w:val="6"/>
          </w:tcPr>
          <w:p>
            <w:pPr>
              <w:spacing w:line="360" w:lineRule="auto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</w:trPr>
        <w:tc>
          <w:tcPr>
            <w:tcW w:w="9782" w:type="dxa"/>
            <w:gridSpan w:val="7"/>
          </w:tcPr>
          <w:p>
            <w:pPr>
              <w:spacing w:line="360" w:lineRule="auto"/>
              <w:rPr>
                <w:rFonts w:hint="eastAsia" w:ascii="华文隶书" w:hAnsi="华文隶书" w:eastAsia="华文隶书" w:cs="华文隶书"/>
                <w:b/>
                <w:bCs/>
              </w:rPr>
            </w:pPr>
            <w:r>
              <w:rPr>
                <w:rFonts w:hint="eastAsia" w:ascii="华文隶书" w:hAnsi="华文隶书" w:eastAsia="华文隶书" w:cs="华文隶书"/>
                <w:b/>
                <w:bCs/>
              </w:rPr>
              <w:t>汇款方式：</w:t>
            </w:r>
            <w:r>
              <w:rPr>
                <w:rFonts w:hint="eastAsia" w:ascii="华文隶书" w:hAnsi="华文隶书" w:eastAsia="华文隶书" w:cs="华文隶书"/>
                <w:b/>
                <w:bCs/>
                <w:lang w:val="en-US" w:eastAsia="zh-CN"/>
              </w:rPr>
              <w:t>培训费：</w:t>
            </w:r>
            <w:r>
              <w:rPr>
                <w:rFonts w:hint="eastAsia" w:ascii="华文隶书" w:hAnsi="华文隶书" w:eastAsia="华文隶书" w:cs="华文隶书"/>
                <w:b/>
                <w:bCs/>
              </w:rPr>
              <w:t>6800元/人</w:t>
            </w:r>
          </w:p>
          <w:p>
            <w:pPr>
              <w:spacing w:line="360" w:lineRule="auto"/>
              <w:jc w:val="left"/>
              <w:rPr>
                <w:rFonts w:hint="eastAsia" w:ascii="华文隶书" w:hAnsi="华文隶书" w:eastAsia="华文隶书" w:cs="华文隶书"/>
                <w:b/>
                <w:bCs/>
              </w:rPr>
            </w:pPr>
            <w:r>
              <w:rPr>
                <w:rFonts w:hint="eastAsia" w:ascii="华文隶书" w:hAnsi="华文隶书" w:eastAsia="华文隶书" w:cs="华文隶书"/>
                <w:b/>
                <w:bCs/>
              </w:rPr>
              <w:t xml:space="preserve">     </w:t>
            </w:r>
            <w:r>
              <w:rPr>
                <w:rFonts w:hint="eastAsia" w:ascii="华文隶书" w:hAnsi="华文隶书" w:eastAsia="华文隶书" w:cs="华文隶书"/>
                <w:b/>
                <w:bCs/>
                <w:lang w:val="en-US" w:eastAsia="zh-CN"/>
              </w:rPr>
              <w:t xml:space="preserve">     </w:t>
            </w:r>
            <w:r>
              <w:rPr>
                <w:rFonts w:hint="eastAsia" w:ascii="华文隶书" w:hAnsi="华文隶书" w:eastAsia="华文隶书" w:cs="华文隶书"/>
                <w:b/>
                <w:bCs/>
              </w:rPr>
              <w:t>户名：北京铭鼎人教育咨询有限公司</w:t>
            </w:r>
          </w:p>
          <w:p>
            <w:pPr>
              <w:spacing w:line="360" w:lineRule="auto"/>
              <w:jc w:val="left"/>
              <w:rPr>
                <w:rFonts w:hint="eastAsia" w:ascii="华文隶书" w:hAnsi="华文隶书" w:eastAsia="华文隶书" w:cs="华文隶书"/>
                <w:b/>
                <w:bCs/>
              </w:rPr>
            </w:pPr>
            <w:r>
              <w:rPr>
                <w:rFonts w:hint="eastAsia" w:ascii="华文隶书" w:hAnsi="华文隶书" w:eastAsia="华文隶书" w:cs="华文隶书"/>
                <w:b/>
                <w:bCs/>
              </w:rPr>
              <w:t xml:space="preserve">          账号：0200004509024739121</w:t>
            </w:r>
          </w:p>
          <w:p>
            <w:pPr>
              <w:spacing w:line="360" w:lineRule="auto"/>
              <w:jc w:val="left"/>
              <w:rPr>
                <w:rFonts w:hint="eastAsia" w:ascii="华文隶书" w:hAnsi="华文隶书" w:eastAsia="华文隶书" w:cs="华文隶书"/>
                <w:b/>
                <w:bCs/>
              </w:rPr>
            </w:pPr>
            <w:r>
              <w:rPr>
                <w:rFonts w:hint="eastAsia" w:ascii="华文隶书" w:hAnsi="华文隶书" w:eastAsia="华文隶书" w:cs="华文隶书"/>
                <w:b/>
                <w:bCs/>
              </w:rPr>
              <w:t xml:space="preserve">         </w:t>
            </w:r>
            <w:r>
              <w:rPr>
                <w:rFonts w:hint="eastAsia" w:ascii="华文隶书" w:hAnsi="华文隶书" w:eastAsia="华文隶书" w:cs="华文隶书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华文隶书" w:hAnsi="华文隶书" w:eastAsia="华文隶书" w:cs="华文隶书"/>
                <w:b/>
                <w:bCs/>
              </w:rPr>
              <w:t>开户行：工商银行海淀西区支行</w:t>
            </w:r>
          </w:p>
          <w:p>
            <w:pPr>
              <w:spacing w:line="360" w:lineRule="auto"/>
              <w:rPr>
                <w:rFonts w:hint="default" w:ascii="宋体" w:hAnsi="宋体" w:cs="宋体"/>
                <w:b/>
                <w:bCs/>
              </w:rPr>
            </w:pPr>
            <w:r>
              <w:rPr>
                <w:rFonts w:hint="eastAsia" w:ascii="华文隶书" w:hAnsi="华文隶书" w:eastAsia="华文隶书" w:cs="华文隶书"/>
                <w:b/>
                <w:bCs/>
              </w:rPr>
              <w:t xml:space="preserve">        备注：汇款请备注学员姓名，把汇款底联发到教务</w:t>
            </w:r>
            <w:r>
              <w:rPr>
                <w:rFonts w:hint="eastAsia" w:ascii="华文隶书" w:hAnsi="华文隶书" w:eastAsia="华文隶书" w:cs="华文隶书"/>
                <w:b/>
                <w:bCs/>
                <w:lang w:val="en-US" w:eastAsia="zh-CN"/>
              </w:rPr>
              <w:t xml:space="preserve">老师         </w:t>
            </w:r>
            <w:r>
              <w:rPr>
                <w:rFonts w:hint="eastAsia" w:ascii="华文隶书" w:hAnsi="华文隶书" w:eastAsia="华文隶书" w:cs="华文隶书"/>
                <w:b/>
                <w:bCs/>
              </w:rPr>
              <w:t>(同微信)收</w:t>
            </w:r>
          </w:p>
        </w:tc>
      </w:tr>
    </w:tbl>
    <w:p>
      <w:pPr>
        <w:spacing w:line="360" w:lineRule="auto"/>
        <w:rPr>
          <w:rFonts w:hint="eastAsia" w:ascii="华文隶书" w:hAnsi="华文隶书" w:eastAsia="华文隶书" w:cs="华文隶书"/>
          <w:szCs w:val="21"/>
        </w:rPr>
      </w:pPr>
      <w:r>
        <w:rPr>
          <w:rFonts w:hint="eastAsia" w:ascii="宋体" w:hAnsi="宋体" w:cs="宋体"/>
          <w:b/>
          <w:bCs/>
        </w:rPr>
        <w:t>（请于填表之日起5个工作日内缴纳学费，因名额有限，以汇款先后顺序安排入学）</w:t>
      </w:r>
    </w:p>
    <w:p>
      <w:pPr>
        <w:snapToGrid w:val="0"/>
        <w:spacing w:line="280" w:lineRule="atLeast"/>
        <w:jc w:val="left"/>
        <w:rPr>
          <w:rFonts w:ascii="宋体" w:hAnsi="宋体" w:cs="宋体"/>
          <w:color w:val="000000"/>
          <w:kern w:val="0"/>
          <w:szCs w:val="21"/>
        </w:rPr>
      </w:pPr>
    </w:p>
    <w:p>
      <w:pPr>
        <w:snapToGrid w:val="0"/>
        <w:spacing w:line="280" w:lineRule="atLeast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ab/>
      </w:r>
      <w:r>
        <w:rPr>
          <w:rFonts w:hint="eastAsia" w:ascii="宋体" w:hAnsi="宋体" w:cs="宋体"/>
          <w:color w:val="000000"/>
          <w:kern w:val="0"/>
          <w:szCs w:val="21"/>
        </w:rPr>
        <w:tab/>
      </w:r>
      <w:r>
        <w:rPr>
          <w:rFonts w:hint="eastAsia" w:ascii="宋体" w:hAnsi="宋体" w:cs="宋体"/>
          <w:color w:val="000000"/>
          <w:kern w:val="0"/>
          <w:szCs w:val="21"/>
        </w:rPr>
        <w:tab/>
      </w:r>
      <w:r>
        <w:rPr>
          <w:rFonts w:hint="eastAsia" w:ascii="宋体" w:hAnsi="宋体" w:cs="宋体"/>
          <w:color w:val="000000"/>
          <w:kern w:val="0"/>
          <w:szCs w:val="21"/>
        </w:rPr>
        <w:tab/>
      </w:r>
      <w:r>
        <w:rPr>
          <w:rFonts w:hint="eastAsia" w:ascii="宋体" w:hAnsi="宋体" w:cs="宋体"/>
          <w:color w:val="000000"/>
          <w:kern w:val="0"/>
          <w:szCs w:val="21"/>
        </w:rPr>
        <w:tab/>
      </w:r>
    </w:p>
    <w:p>
      <w:pPr>
        <w:snapToGrid w:val="0"/>
        <w:spacing w:line="280" w:lineRule="atLeast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ab/>
      </w:r>
      <w:r>
        <w:rPr>
          <w:rFonts w:hint="eastAsia" w:ascii="宋体" w:hAnsi="宋体" w:cs="宋体"/>
          <w:color w:val="000000"/>
          <w:kern w:val="0"/>
          <w:szCs w:val="21"/>
        </w:rPr>
        <w:tab/>
      </w:r>
      <w:r>
        <w:rPr>
          <w:rFonts w:hint="eastAsia" w:ascii="宋体" w:hAnsi="宋体" w:cs="宋体"/>
          <w:color w:val="000000"/>
          <w:kern w:val="0"/>
          <w:szCs w:val="21"/>
        </w:rPr>
        <w:tab/>
      </w:r>
      <w:r>
        <w:rPr>
          <w:rFonts w:hint="eastAsia" w:ascii="宋体" w:hAnsi="宋体" w:cs="宋体"/>
          <w:color w:val="000000"/>
          <w:kern w:val="0"/>
          <w:szCs w:val="21"/>
        </w:rPr>
        <w:tab/>
      </w:r>
      <w:r>
        <w:rPr>
          <w:rFonts w:hint="eastAsia" w:ascii="宋体" w:hAnsi="宋体" w:cs="宋体"/>
          <w:color w:val="000000"/>
          <w:kern w:val="0"/>
          <w:szCs w:val="21"/>
        </w:rPr>
        <w:tab/>
      </w:r>
      <w:r>
        <w:rPr>
          <w:rFonts w:hint="eastAsia" w:ascii="宋体" w:hAnsi="宋体" w:cs="宋体"/>
          <w:color w:val="000000"/>
          <w:kern w:val="0"/>
          <w:szCs w:val="21"/>
        </w:rPr>
        <w:tab/>
      </w:r>
      <w:r>
        <w:rPr>
          <w:rFonts w:hint="eastAsia" w:ascii="宋体" w:hAnsi="宋体" w:cs="宋体"/>
          <w:color w:val="000000"/>
          <w:kern w:val="0"/>
          <w:szCs w:val="21"/>
        </w:rPr>
        <w:tab/>
      </w:r>
      <w:r>
        <w:rPr>
          <w:rFonts w:hint="eastAsia" w:ascii="宋体" w:hAnsi="宋体" w:cs="宋体"/>
          <w:color w:val="000000"/>
          <w:kern w:val="0"/>
          <w:szCs w:val="21"/>
        </w:rPr>
        <w:tab/>
      </w:r>
      <w:r>
        <w:rPr>
          <w:rFonts w:hint="eastAsia" w:ascii="宋体" w:hAnsi="宋体" w:cs="宋体"/>
          <w:color w:val="000000"/>
          <w:kern w:val="0"/>
          <w:szCs w:val="21"/>
        </w:rPr>
        <w:tab/>
      </w:r>
      <w:r>
        <w:rPr>
          <w:rFonts w:hint="eastAsia" w:ascii="宋体" w:hAnsi="宋体" w:cs="宋体"/>
          <w:color w:val="000000"/>
          <w:kern w:val="0"/>
          <w:szCs w:val="21"/>
        </w:rPr>
        <w:tab/>
      </w:r>
      <w:r>
        <w:rPr>
          <w:rFonts w:hint="eastAsia" w:ascii="宋体" w:hAnsi="宋体" w:cs="宋体"/>
          <w:color w:val="000000"/>
          <w:kern w:val="0"/>
          <w:szCs w:val="21"/>
        </w:rPr>
        <w:tab/>
      </w:r>
      <w:r>
        <w:rPr>
          <w:rFonts w:hint="eastAsia" w:ascii="宋体" w:hAnsi="宋体" w:cs="宋体"/>
          <w:color w:val="000000"/>
          <w:kern w:val="0"/>
          <w:szCs w:val="21"/>
        </w:rPr>
        <w:t xml:space="preserve">            </w:t>
      </w:r>
      <w:r>
        <w:rPr>
          <w:rFonts w:hint="eastAsia" w:ascii="宋体" w:hAnsi="宋体" w:cs="宋体"/>
          <w:color w:val="000000"/>
          <w:kern w:val="0"/>
          <w:szCs w:val="21"/>
        </w:rPr>
        <w:tab/>
      </w:r>
      <w:r>
        <w:rPr>
          <w:rFonts w:hint="eastAsia" w:ascii="宋体" w:hAnsi="宋体" w:cs="宋体"/>
          <w:color w:val="000000"/>
          <w:kern w:val="0"/>
          <w:szCs w:val="21"/>
        </w:rPr>
        <w:t>年   月   日</w:t>
      </w:r>
    </w:p>
    <w:sectPr>
      <w:headerReference r:id="rId3" w:type="default"/>
      <w:pgSz w:w="11906" w:h="16838"/>
      <w:pgMar w:top="1304" w:right="1134" w:bottom="1304" w:left="1134" w:header="964" w:footer="10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JhengHei U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华文隶书">
    <w:altName w:val="微软雅黑"/>
    <w:panose1 w:val="02010800040001010101"/>
    <w:charset w:val="86"/>
    <w:family w:val="auto"/>
    <w:pitch w:val="default"/>
    <w:sig w:usb0="00000000" w:usb1="00000000" w:usb2="00000000" w:usb3="00000000" w:csb0="00040000" w:csb1="00000000"/>
  </w:font>
  <w:font w:name="华文行楷">
    <w:altName w:val="微软雅黑"/>
    <w:panose1 w:val="02010800040001010101"/>
    <w:charset w:val="86"/>
    <w:family w:val="auto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4" w:space="1"/>
      </w:pBdr>
      <w:wordWrap w:val="0"/>
      <w:jc w:val="right"/>
      <w:rPr>
        <w:rFonts w:ascii="华文行楷" w:hAnsi="华文行楷" w:eastAsia="华文行楷" w:cs="华文行楷"/>
        <w:sz w:val="24"/>
        <w:szCs w:val="24"/>
      </w:rPr>
    </w:pPr>
    <w:r>
      <w:rPr>
        <w:rFonts w:hint="eastAsia" w:ascii="华文行楷" w:hAnsi="华文行楷" w:eastAsia="华文行楷" w:cs="华文行楷"/>
        <w:sz w:val="28"/>
        <w:szCs w:val="28"/>
      </w:rPr>
      <w:drawing>
        <wp:anchor distT="0" distB="0" distL="114300" distR="114300" simplePos="0" relativeHeight="1024" behindDoc="0" locked="0" layoutInCell="1" allowOverlap="1">
          <wp:simplePos x="0" y="0"/>
          <wp:positionH relativeFrom="column">
            <wp:posOffset>-293370</wp:posOffset>
          </wp:positionH>
          <wp:positionV relativeFrom="paragraph">
            <wp:posOffset>-109220</wp:posOffset>
          </wp:positionV>
          <wp:extent cx="1990725" cy="523875"/>
          <wp:effectExtent l="19050" t="0" r="0" b="0"/>
          <wp:wrapSquare wrapText="bothSides"/>
          <wp:docPr id="4097" name="图片 1" descr="C:\Users\11\AppData\Local\Temp\WeChat Files\3e8df9147885590f7fa468f876d3b9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图片 1" descr="C:\Users\11\AppData\Local\Temp\WeChat Files\3e8df9147885590f7fa468f876d3b94.pn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0724" cy="52387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华文行楷" w:hAnsi="华文行楷" w:eastAsia="华文行楷" w:cs="华文行楷"/>
        <w:sz w:val="28"/>
        <w:szCs w:val="28"/>
      </w:rPr>
      <w:t xml:space="preserve">                </w:t>
    </w:r>
  </w:p>
  <w:p>
    <w:pPr>
      <w:pStyle w:val="4"/>
      <w:pBdr>
        <w:bottom w:val="single" w:color="auto" w:sz="4" w:space="1"/>
      </w:pBdr>
      <w:wordWrap w:val="0"/>
      <w:jc w:val="right"/>
      <w:rPr>
        <w:rFonts w:ascii="华文行楷" w:hAnsi="华文行楷" w:eastAsia="华文行楷" w:cs="华文行楷"/>
        <w:sz w:val="24"/>
        <w:szCs w:val="24"/>
      </w:rPr>
    </w:pPr>
    <w:r>
      <w:rPr>
        <w:rFonts w:hint="eastAsia" w:ascii="华文行楷" w:hAnsi="华文行楷" w:eastAsia="华文行楷" w:cs="华文行楷"/>
        <w:sz w:val="24"/>
        <w:szCs w:val="24"/>
      </w:rPr>
      <w:t>文章立事须铭鼎，谈笑论功耻据鞍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0000000"/>
    <w:lvl w:ilvl="0" w:tentative="0">
      <w:start w:val="1"/>
      <w:numFmt w:val="decimal"/>
      <w:lvlText w:val="%1."/>
      <w:lvlJc w:val="left"/>
      <w:pPr>
        <w:ind w:left="948" w:hanging="420"/>
      </w:pPr>
    </w:lvl>
    <w:lvl w:ilvl="1" w:tentative="0">
      <w:start w:val="1"/>
      <w:numFmt w:val="lowerLetter"/>
      <w:lvlText w:val="%2)"/>
      <w:lvlJc w:val="left"/>
      <w:pPr>
        <w:ind w:left="1368" w:hanging="420"/>
      </w:pPr>
    </w:lvl>
    <w:lvl w:ilvl="2" w:tentative="0">
      <w:start w:val="1"/>
      <w:numFmt w:val="lowerRoman"/>
      <w:lvlText w:val="%3."/>
      <w:lvlJc w:val="right"/>
      <w:pPr>
        <w:ind w:left="1788" w:hanging="420"/>
      </w:pPr>
    </w:lvl>
    <w:lvl w:ilvl="3" w:tentative="0">
      <w:start w:val="1"/>
      <w:numFmt w:val="decimal"/>
      <w:lvlText w:val="%4."/>
      <w:lvlJc w:val="left"/>
      <w:pPr>
        <w:ind w:left="2208" w:hanging="420"/>
      </w:pPr>
    </w:lvl>
    <w:lvl w:ilvl="4" w:tentative="0">
      <w:start w:val="1"/>
      <w:numFmt w:val="lowerLetter"/>
      <w:lvlText w:val="%5)"/>
      <w:lvlJc w:val="left"/>
      <w:pPr>
        <w:ind w:left="2628" w:hanging="420"/>
      </w:pPr>
    </w:lvl>
    <w:lvl w:ilvl="5" w:tentative="0">
      <w:start w:val="1"/>
      <w:numFmt w:val="lowerRoman"/>
      <w:lvlText w:val="%6."/>
      <w:lvlJc w:val="right"/>
      <w:pPr>
        <w:ind w:left="3048" w:hanging="420"/>
      </w:pPr>
    </w:lvl>
    <w:lvl w:ilvl="6" w:tentative="0">
      <w:start w:val="1"/>
      <w:numFmt w:val="decimal"/>
      <w:lvlText w:val="%7."/>
      <w:lvlJc w:val="left"/>
      <w:pPr>
        <w:ind w:left="3468" w:hanging="420"/>
      </w:pPr>
    </w:lvl>
    <w:lvl w:ilvl="7" w:tentative="0">
      <w:start w:val="1"/>
      <w:numFmt w:val="lowerLetter"/>
      <w:lvlText w:val="%8)"/>
      <w:lvlJc w:val="left"/>
      <w:pPr>
        <w:ind w:left="3888" w:hanging="420"/>
      </w:pPr>
    </w:lvl>
    <w:lvl w:ilvl="8" w:tentative="0">
      <w:start w:val="1"/>
      <w:numFmt w:val="lowerRoman"/>
      <w:lvlText w:val="%9."/>
      <w:lvlJc w:val="right"/>
      <w:pPr>
        <w:ind w:left="4308" w:hanging="420"/>
      </w:pPr>
    </w:lvl>
  </w:abstractNum>
  <w:abstractNum w:abstractNumId="1">
    <w:nsid w:val="00000001"/>
    <w:multiLevelType w:val="multilevel"/>
    <w:tmpl w:val="00000001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 w:cs="Wingdings"/>
      </w:rPr>
    </w:lvl>
  </w:abstractNum>
  <w:abstractNum w:abstractNumId="2">
    <w:nsid w:val="00000002"/>
    <w:multiLevelType w:val="multilevel"/>
    <w:tmpl w:val="00000002"/>
    <w:lvl w:ilvl="0" w:tentative="0">
      <w:start w:val="1"/>
      <w:numFmt w:val="chineseCountingThousand"/>
      <w:lvlText w:val="(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0000003"/>
    <w:multiLevelType w:val="multilevel"/>
    <w:tmpl w:val="00000003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00000004"/>
    <w:multiLevelType w:val="multilevel"/>
    <w:tmpl w:val="00000004"/>
    <w:lvl w:ilvl="0" w:tentative="0">
      <w:start w:val="1"/>
      <w:numFmt w:val="decimal"/>
      <w:lvlText w:val="%1."/>
      <w:lvlJc w:val="left"/>
      <w:pPr>
        <w:ind w:left="980" w:hanging="420"/>
      </w:p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00000006"/>
    <w:multiLevelType w:val="multilevel"/>
    <w:tmpl w:val="00000006"/>
    <w:lvl w:ilvl="0" w:tentative="0">
      <w:start w:val="1"/>
      <w:numFmt w:val="decimal"/>
      <w:lvlText w:val="%1."/>
      <w:lvlJc w:val="left"/>
      <w:pPr>
        <w:ind w:left="732" w:hanging="420"/>
      </w:pPr>
    </w:lvl>
    <w:lvl w:ilvl="1" w:tentative="0">
      <w:start w:val="1"/>
      <w:numFmt w:val="lowerLetter"/>
      <w:lvlText w:val="%2)"/>
      <w:lvlJc w:val="left"/>
      <w:pPr>
        <w:ind w:left="1152" w:hanging="420"/>
      </w:pPr>
    </w:lvl>
    <w:lvl w:ilvl="2" w:tentative="0">
      <w:start w:val="1"/>
      <w:numFmt w:val="lowerRoman"/>
      <w:lvlText w:val="%3."/>
      <w:lvlJc w:val="right"/>
      <w:pPr>
        <w:ind w:left="1572" w:hanging="420"/>
      </w:pPr>
    </w:lvl>
    <w:lvl w:ilvl="3" w:tentative="0">
      <w:start w:val="1"/>
      <w:numFmt w:val="decimal"/>
      <w:lvlText w:val="%4."/>
      <w:lvlJc w:val="left"/>
      <w:pPr>
        <w:ind w:left="1992" w:hanging="420"/>
      </w:pPr>
    </w:lvl>
    <w:lvl w:ilvl="4" w:tentative="0">
      <w:start w:val="1"/>
      <w:numFmt w:val="lowerLetter"/>
      <w:lvlText w:val="%5)"/>
      <w:lvlJc w:val="left"/>
      <w:pPr>
        <w:ind w:left="2412" w:hanging="420"/>
      </w:pPr>
    </w:lvl>
    <w:lvl w:ilvl="5" w:tentative="0">
      <w:start w:val="1"/>
      <w:numFmt w:val="lowerRoman"/>
      <w:lvlText w:val="%6."/>
      <w:lvlJc w:val="right"/>
      <w:pPr>
        <w:ind w:left="2832" w:hanging="420"/>
      </w:pPr>
    </w:lvl>
    <w:lvl w:ilvl="6" w:tentative="0">
      <w:start w:val="1"/>
      <w:numFmt w:val="decimal"/>
      <w:lvlText w:val="%7."/>
      <w:lvlJc w:val="left"/>
      <w:pPr>
        <w:ind w:left="3252" w:hanging="420"/>
      </w:pPr>
    </w:lvl>
    <w:lvl w:ilvl="7" w:tentative="0">
      <w:start w:val="1"/>
      <w:numFmt w:val="lowerLetter"/>
      <w:lvlText w:val="%8)"/>
      <w:lvlJc w:val="left"/>
      <w:pPr>
        <w:ind w:left="3672" w:hanging="420"/>
      </w:pPr>
    </w:lvl>
    <w:lvl w:ilvl="8" w:tentative="0">
      <w:start w:val="1"/>
      <w:numFmt w:val="lowerRoman"/>
      <w:lvlText w:val="%9."/>
      <w:lvlJc w:val="right"/>
      <w:pPr>
        <w:ind w:left="4092" w:hanging="42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78255405"/>
    <w:rsid w:val="7BB4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22"/>
    <w:rPr>
      <w:b/>
      <w:bCs/>
    </w:rPr>
  </w:style>
  <w:style w:type="character" w:styleId="11">
    <w:name w:val="Hyperlink"/>
    <w:basedOn w:val="9"/>
    <w:qFormat/>
    <w:uiPriority w:val="99"/>
    <w:rPr>
      <w:color w:val="0000FF"/>
      <w:u w:val="single"/>
    </w:rPr>
  </w:style>
  <w:style w:type="character" w:customStyle="1" w:styleId="12">
    <w:name w:val="批注框文本 字符"/>
    <w:basedOn w:val="9"/>
    <w:link w:val="2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3"/>
    <w:qFormat/>
    <w:uiPriority w:val="0"/>
    <w:rPr>
      <w:kern w:val="2"/>
      <w:sz w:val="18"/>
      <w:szCs w:val="18"/>
    </w:rPr>
  </w:style>
  <w:style w:type="character" w:customStyle="1" w:styleId="14">
    <w:name w:val="apple-converted-space"/>
    <w:basedOn w:val="9"/>
    <w:qFormat/>
    <w:uiPriority w:val="0"/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2993</Words>
  <Characters>3315</Characters>
  <Paragraphs>211</Paragraphs>
  <TotalTime>192</TotalTime>
  <ScaleCrop>false</ScaleCrop>
  <LinksUpToDate>false</LinksUpToDate>
  <CharactersWithSpaces>3557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2020-04-23T06:49:00Z</dcterms:created>
  <dc:creator>PPP实战研讨班</dc:creator>
  <cp:lastModifiedBy>张新政</cp:lastModifiedBy>
  <cp:lastPrinted>2018-06-29T06:41:00Z</cp:lastPrinted>
  <dcterms:modified xsi:type="dcterms:W3CDTF">2020-08-12T06:29:18Z</dcterms:modified>
  <dc:subject>13371618011（手机同微信号）</dc:subject>
  <dc:title>周老师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