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22" w:firstLineChars="100"/>
        <w:jc w:val="both"/>
        <w:textAlignment w:val="auto"/>
        <w:rPr>
          <w:rFonts w:hint="eastAsia" w:ascii="方正粗黑宋简体" w:hAnsi="方正粗黑宋简体" w:eastAsia="方正粗黑宋简体" w:cs="方正粗黑宋简体"/>
          <w:b/>
          <w:bCs w:val="0"/>
          <w:color w:val="C00000"/>
          <w:sz w:val="52"/>
          <w:szCs w:val="5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i w:val="0"/>
          <w:caps w:val="0"/>
          <w:color w:val="C00000"/>
          <w:spacing w:val="0"/>
          <w:sz w:val="52"/>
          <w:szCs w:val="52"/>
          <w:shd w:val="clear" w:fill="FFFFFF"/>
          <w:lang w:eastAsia="zh-CN"/>
        </w:rPr>
        <w:t>北京</w:t>
      </w:r>
      <w:r>
        <w:rPr>
          <w:rFonts w:hint="eastAsia" w:ascii="方正粗黑宋简体" w:hAnsi="方正粗黑宋简体" w:eastAsia="方正粗黑宋简体" w:cs="方正粗黑宋简体"/>
          <w:b/>
          <w:bCs w:val="0"/>
          <w:i w:val="0"/>
          <w:caps w:val="0"/>
          <w:color w:val="C00000"/>
          <w:spacing w:val="0"/>
          <w:sz w:val="52"/>
          <w:szCs w:val="52"/>
          <w:shd w:val="clear" w:fill="FFFFFF"/>
        </w:rPr>
        <w:t>大学</w:t>
      </w:r>
      <w:r>
        <w:rPr>
          <w:rFonts w:hint="eastAsia" w:ascii="方正粗黑宋简体" w:hAnsi="方正粗黑宋简体" w:eastAsia="方正粗黑宋简体" w:cs="方正粗黑宋简体"/>
          <w:b/>
          <w:bCs w:val="0"/>
          <w:i w:val="0"/>
          <w:caps w:val="0"/>
          <w:color w:val="C00000"/>
          <w:spacing w:val="0"/>
          <w:sz w:val="52"/>
          <w:szCs w:val="52"/>
          <w:shd w:val="clear" w:fill="FFFFFF"/>
          <w:lang w:eastAsia="zh-CN"/>
        </w:rPr>
        <w:t>康养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C00000"/>
          <w:sz w:val="52"/>
          <w:szCs w:val="52"/>
          <w:lang w:val="en-US" w:eastAsia="zh-CN"/>
        </w:rPr>
        <w:t>产业暨特色产业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2088" w:firstLineChars="400"/>
        <w:jc w:val="both"/>
        <w:textAlignment w:val="auto"/>
        <w:rPr>
          <w:rFonts w:hint="eastAsia" w:ascii="方正粗黑宋简体" w:hAnsi="方正粗黑宋简体" w:eastAsia="方正粗黑宋简体" w:cs="方正粗黑宋简体"/>
          <w:b/>
          <w:bCs w:val="0"/>
          <w:i w:val="0"/>
          <w:caps w:val="0"/>
          <w:color w:val="C00000"/>
          <w:spacing w:val="0"/>
          <w:sz w:val="52"/>
          <w:szCs w:val="52"/>
          <w:shd w:val="clear" w:fill="FFFFFF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C00000"/>
          <w:sz w:val="52"/>
          <w:szCs w:val="52"/>
          <w:lang w:val="en-US" w:eastAsia="zh-CN"/>
        </w:rPr>
        <w:t>运营高级研修班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C00000"/>
          <w:sz w:val="44"/>
          <w:szCs w:val="44"/>
          <w:lang w:val="en-US" w:eastAsia="zh-CN"/>
        </w:rPr>
        <w:t>（二期）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center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康养文旅+乡村振兴+产业引领</w:t>
      </w:r>
    </w:p>
    <w:p>
      <w:pPr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8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eastAsia="zh-CN"/>
        </w:rPr>
        <w:t>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随着经济全球化的快速推进，国家的城镇化建设的稳步发展，在国家乡村振兴战略的背景下，人民生活的美好向往，康养产业也提升到了国家战略层面，大健康产业正进入井喷元年。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北京大学依托百年学府的人文理想情怀，携百年名校的专业优势和顶尖师资，联手产业精英、行业大咖，就康养文旅产业的的开发，进行理论联系实际的，全产业链的教授和辅导，引领当今产业前沿思想模式。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课程将深度聚焦国家乡村振兴战略和城镇更新，以及大健康战略下的康养文旅产业，从战略规划、顶层设计、落地运营、产业投融资的全生命周期，帮助学员更新理念和知识，提供新思维、新视角、新观点与新模式，达到理论水平与实践能力的全面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anchor distT="0" distB="0" distL="114935" distR="114935" simplePos="0" relativeHeight="252312576" behindDoc="1" locked="0" layoutInCell="1" allowOverlap="1">
            <wp:simplePos x="0" y="0"/>
            <wp:positionH relativeFrom="column">
              <wp:posOffset>-1160145</wp:posOffset>
            </wp:positionH>
            <wp:positionV relativeFrom="page">
              <wp:posOffset>6389370</wp:posOffset>
            </wp:positionV>
            <wp:extent cx="7592695" cy="4364990"/>
            <wp:effectExtent l="0" t="0" r="8255" b="16510"/>
            <wp:wrapNone/>
            <wp:docPr id="12" name="图片 13" descr="9936206_174123704147_2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9936206_174123704147_2副本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695" cy="4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讲台上，可以亲历在任部委领导的教诲，课堂上，将与行业精英同学互动交流，以及多元化的资源共享和对接，让圈层经济助推企业转型升级，为企业发展赋能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康养文旅产业，将成为房地产开发的重要突破口，这更考验我们企业卓越领导人的大智慧、大谋略、大格局。面对这样的发展契机，更需要汇聚各方优质资源和前沿战略思想，借鉴成熟产业和市场经验，驱动康养产业的全程价值链，在混沌中实现蜕变和华丽转身，为企业管理者提供新思维、新视角、新理念与新模式，引领产业发展新时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5"/>
        <w:widowControl/>
        <w:spacing w:before="132" w:beforeAutospacing="0" w:after="200" w:afterAutospacing="0" w:line="400" w:lineRule="exact"/>
        <w:rPr>
          <w:rFonts w:ascii="微软雅黑" w:hAnsi="微软雅黑" w:eastAsia="微软雅黑" w:cs="微软雅黑"/>
          <w:color w:val="C00000"/>
          <w:sz w:val="32"/>
          <w:szCs w:val="32"/>
        </w:rPr>
      </w:pPr>
      <w:r>
        <w:rPr>
          <w:rStyle w:val="9"/>
          <w:rFonts w:hint="eastAsia" w:ascii="微软雅黑" w:hAnsi="微软雅黑" w:eastAsia="微软雅黑" w:cs="微软雅黑"/>
          <w:color w:val="C00000"/>
          <w:sz w:val="32"/>
          <w:szCs w:val="32"/>
        </w:rPr>
        <w:t>【课程亮点】</w:t>
      </w:r>
    </w:p>
    <w:p>
      <w:pPr>
        <w:pStyle w:val="5"/>
        <w:widowControl/>
        <w:shd w:val="clear" w:color="auto" w:fill="FFFFFF"/>
        <w:spacing w:before="240" w:beforeAutospacing="0" w:after="240" w:afterAutospacing="0"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theme="minorEastAsia"/>
          <w:kern w:val="2"/>
        </w:rPr>
        <w:t>课程涵盖：洞悉时势、通晓政策、理性思辨、全局统观、资源融合、圈层交流、管理提升、样板研学、实操落地等亮点。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00" w:afterAutospacing="0" w:line="380" w:lineRule="exact"/>
        <w:ind w:left="0" w:right="0"/>
        <w:textAlignment w:val="auto"/>
        <w:rPr>
          <w:rFonts w:hint="eastAsia" w:ascii="微软雅黑" w:hAnsi="微软雅黑" w:eastAsia="微软雅黑" w:cs="微软雅黑"/>
          <w:color w:val="C00000"/>
          <w:sz w:val="32"/>
          <w:szCs w:val="32"/>
        </w:rPr>
      </w:pPr>
      <w:r>
        <w:rPr>
          <w:rStyle w:val="9"/>
          <w:rFonts w:hint="eastAsia" w:ascii="微软雅黑" w:hAnsi="微软雅黑" w:eastAsia="微软雅黑" w:cs="微软雅黑"/>
          <w:b/>
          <w:color w:val="C00000"/>
          <w:sz w:val="32"/>
          <w:szCs w:val="32"/>
        </w:rPr>
        <w:t>核心价值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38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</w:rPr>
        <w:t>◆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系统课程学习，内容聚焦国家战略和新兴产业发展，包括乡村振兴、特色小镇、田园综合体 、功能农业，特别是康养文旅产业，及相关产业落地运营和项目投融资策略等。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38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</w:rPr>
        <w:t>◆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FFFFF"/>
        </w:rPr>
        <w:t>权威师资和实战课程，各部委在职领导及标杆项目操盘手亲身授课，和进行最新的政策解读，最专业的战略规划，最前沿的产业方向，最实用的操作模式，最切合自身发展需求的课程设置。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38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</w:rPr>
        <w:t>◆样板项目实地研学考察，运营负责人带队讲解，操盘者课堂深度解析，康养文旅、特色小镇、田园民宿、美丽乡村、田园综合体等多主题项目对标研究和游学。</w:t>
      </w:r>
    </w:p>
    <w:p>
      <w:pPr>
        <w:pStyle w:val="5"/>
        <w:widowControl/>
        <w:spacing w:before="132" w:beforeAutospacing="0" w:after="258" w:afterAutospacing="0" w:line="400" w:lineRule="exact"/>
        <w:rPr>
          <w:rFonts w:ascii="微软雅黑" w:hAnsi="微软雅黑" w:eastAsia="微软雅黑" w:cs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【课程模块】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>课程设置：1、宏观经济 2、</w:t>
      </w:r>
      <w:r>
        <w:rPr>
          <w:rFonts w:hint="eastAsia" w:ascii="微软雅黑" w:hAnsi="微软雅黑" w:eastAsia="微软雅黑" w:cstheme="minorEastAsia"/>
          <w:sz w:val="24"/>
          <w:lang w:eastAsia="zh-CN"/>
        </w:rPr>
        <w:t>康养产业</w:t>
      </w:r>
      <w:r>
        <w:rPr>
          <w:rFonts w:hint="eastAsia" w:ascii="微软雅黑" w:hAnsi="微软雅黑" w:eastAsia="微软雅黑" w:cstheme="minorEastAsia"/>
          <w:sz w:val="24"/>
        </w:rPr>
        <w:t xml:space="preserve"> 3、</w:t>
      </w:r>
      <w:r>
        <w:rPr>
          <w:rFonts w:hint="eastAsia" w:ascii="微软雅黑" w:hAnsi="微软雅黑" w:eastAsia="微软雅黑" w:cstheme="minorEastAsia"/>
          <w:sz w:val="24"/>
          <w:lang w:eastAsia="zh-CN"/>
        </w:rPr>
        <w:t>康养文旅</w:t>
      </w:r>
      <w:r>
        <w:rPr>
          <w:rFonts w:hint="eastAsia" w:ascii="微软雅黑" w:hAnsi="微软雅黑" w:eastAsia="微软雅黑" w:cstheme="minorEastAsia"/>
          <w:sz w:val="24"/>
        </w:rPr>
        <w:t xml:space="preserve"> 4、</w:t>
      </w:r>
      <w:r>
        <w:rPr>
          <w:rFonts w:hint="eastAsia" w:ascii="微软雅黑" w:hAnsi="微软雅黑" w:eastAsia="微软雅黑" w:cstheme="minorEastAsia"/>
          <w:sz w:val="24"/>
          <w:lang w:eastAsia="zh-CN"/>
        </w:rPr>
        <w:t>康养</w:t>
      </w:r>
      <w:r>
        <w:rPr>
          <w:rFonts w:hint="eastAsia" w:ascii="微软雅黑" w:hAnsi="微软雅黑" w:eastAsia="微软雅黑" w:cstheme="minorEastAsia"/>
          <w:sz w:val="24"/>
        </w:rPr>
        <w:t>地产 5、</w:t>
      </w:r>
      <w:r>
        <w:rPr>
          <w:rFonts w:hint="eastAsia" w:ascii="微软雅黑" w:hAnsi="微软雅黑" w:eastAsia="微软雅黑" w:cstheme="minorEastAsia"/>
          <w:sz w:val="24"/>
          <w:lang w:eastAsia="zh-CN"/>
        </w:rPr>
        <w:t>乡村振兴</w:t>
      </w:r>
      <w:r>
        <w:rPr>
          <w:rFonts w:hint="eastAsia" w:ascii="微软雅黑" w:hAnsi="微软雅黑" w:eastAsia="微软雅黑" w:cstheme="minorEastAsia"/>
          <w:sz w:val="24"/>
        </w:rPr>
        <w:t xml:space="preserve"> 6、</w:t>
      </w:r>
      <w:r>
        <w:rPr>
          <w:rFonts w:hint="eastAsia" w:ascii="微软雅黑" w:hAnsi="微软雅黑" w:eastAsia="微软雅黑" w:cstheme="minorEastAsia"/>
          <w:sz w:val="24"/>
          <w:lang w:eastAsia="zh-CN"/>
        </w:rPr>
        <w:t>标杆研学</w:t>
      </w:r>
      <w:r>
        <w:rPr>
          <w:rFonts w:hint="eastAsia" w:ascii="微软雅黑" w:hAnsi="微软雅黑" w:eastAsia="微软雅黑" w:cstheme="minorEastAsia"/>
          <w:sz w:val="24"/>
        </w:rPr>
        <w:t xml:space="preserve"> ，共计</w:t>
      </w:r>
      <w:r>
        <w:rPr>
          <w:rFonts w:hint="eastAsia" w:ascii="微软雅黑" w:hAnsi="微软雅黑" w:eastAsia="微软雅黑" w:cstheme="minorEastAsia"/>
          <w:sz w:val="24"/>
          <w:lang w:eastAsia="zh-CN"/>
        </w:rPr>
        <w:t>六</w:t>
      </w:r>
      <w:r>
        <w:rPr>
          <w:rFonts w:hint="eastAsia" w:ascii="微软雅黑" w:hAnsi="微软雅黑" w:eastAsia="微软雅黑" w:cstheme="minorEastAsia"/>
          <w:sz w:val="24"/>
        </w:rPr>
        <w:t>大</w:t>
      </w:r>
      <w:r>
        <w:rPr>
          <w:rFonts w:hint="eastAsia" w:ascii="微软雅黑" w:hAnsi="微软雅黑" w:eastAsia="微软雅黑" w:cstheme="minorEastAsia"/>
          <w:sz w:val="24"/>
          <w:lang w:eastAsia="zh-CN"/>
        </w:rPr>
        <w:t>课程</w:t>
      </w:r>
      <w:r>
        <w:rPr>
          <w:rFonts w:hint="eastAsia" w:ascii="微软雅黑" w:hAnsi="微软雅黑" w:eastAsia="微软雅黑" w:cstheme="minorEastAsia"/>
          <w:sz w:val="24"/>
        </w:rPr>
        <w:t>模块。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theme="minor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 xml:space="preserve">01 | 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eastAsia="zh-CN"/>
        </w:rPr>
        <w:t>课程体系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7"/>
        <w:tblW w:w="9000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5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416" w:type="dxa"/>
            <w:shd w:val="clear" w:color="auto" w:fill="C00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课程模块</w:t>
            </w:r>
          </w:p>
        </w:tc>
        <w:tc>
          <w:tcPr>
            <w:tcW w:w="5584" w:type="dxa"/>
            <w:shd w:val="clear" w:color="auto" w:fill="C00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  <w:t>第一模块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  <w:t>宏观经济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anchor distT="0" distB="0" distL="114935" distR="114935" simplePos="0" relativeHeight="252302336" behindDoc="1" locked="0" layoutInCell="1" allowOverlap="1">
                  <wp:simplePos x="0" y="0"/>
                  <wp:positionH relativeFrom="column">
                    <wp:posOffset>-1022985</wp:posOffset>
                  </wp:positionH>
                  <wp:positionV relativeFrom="page">
                    <wp:posOffset>694690</wp:posOffset>
                  </wp:positionV>
                  <wp:extent cx="7614285" cy="4377690"/>
                  <wp:effectExtent l="0" t="0" r="5715" b="3810"/>
                  <wp:wrapNone/>
                  <wp:docPr id="11" name="图片 13" descr="9936206_174123704147_2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3" descr="9936206_174123704147_2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4285" cy="437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全球经济走向和宏观经济发展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中国经济与世界政治经济格局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区域经济转型与产业创新发展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国家大健康战略政策法规解读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乡村振兴战略下的高质量发展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国家战略助推康养产业的发展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康养产业发展趋势及最新政策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  <w:t>第二模块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eastAsia="zh-CN"/>
              </w:rPr>
              <w:t>康养产业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区域医养一体化产业运营模式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中国康养产业的基础模式研究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治未病为根本的中国康养产业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康养全产业链全程价值链体系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创新生态康养与养老产业融合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康养产业与全域旅游融合发展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康养特色小镇的顶层设计模式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  <w:t>第三模块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eastAsia="zh-CN"/>
              </w:rPr>
              <w:t>康养文旅</w:t>
            </w: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产业引领下康养文旅开发模式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城市康养文旅综合体商业模式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田园康养综合体开发模式研究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森林康养模式引领的生态开发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长寿城镇村概念引领产业开发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夜经济是拉动康养消费的动能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文创主题式康养度假园区开发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  <w:t>第四模块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  <w:t>康养地产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康养产业是房地产转型突破口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大健康战略下的创新地产开发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新型城镇化下的康养地产转型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功能地产模式成就房地产升级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严控下的康养地产高质量发展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资本视角下康养新城创新模式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新形势下养老地产的系统开发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  <w:t>第五模块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</w:rPr>
              <w:drawing>
                <wp:anchor distT="0" distB="0" distL="114300" distR="114300" simplePos="0" relativeHeight="252251136" behindDoc="1" locked="0" layoutInCell="1" allowOverlap="1">
                  <wp:simplePos x="0" y="0"/>
                  <wp:positionH relativeFrom="column">
                    <wp:posOffset>-1059815</wp:posOffset>
                  </wp:positionH>
                  <wp:positionV relativeFrom="paragraph">
                    <wp:posOffset>290195</wp:posOffset>
                  </wp:positionV>
                  <wp:extent cx="7681595" cy="4415790"/>
                  <wp:effectExtent l="0" t="0" r="14605" b="3810"/>
                  <wp:wrapNone/>
                  <wp:docPr id="6" name="图片 13" descr="9936206_174123704147_2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3" descr="9936206_174123704147_2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1595" cy="441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eastAsia="zh-CN"/>
              </w:rPr>
              <w:t>乡村振兴</w:t>
            </w: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乡村田园康养综合体开发模式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农旅康养民宿度假村开发模式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乡村振兴战略下一村一品运动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功能农业成为康养产业生力军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景观农业带动康养农旅的开发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循环农业与三农经济开发模式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田园文创和康养农庄产业开发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  <w:t>第六模块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  <w:t>标杆研学</w:t>
            </w: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国内外康养产业标杆案例分享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康养实战项目管理与经验借鉴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实地考察康养产业的成功案例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康养操盘手现场解读成功经验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全产业链运营一体化解决模式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儒释道传统文化解析康养产业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5G智能时代助推康养文旅创新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38" w:afterAutospacing="0" w:line="400" w:lineRule="exact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b/>
          <w:bCs/>
          <w:color w:val="C00000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 xml:space="preserve">| 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eastAsia="zh-CN"/>
        </w:rPr>
        <w:t>招生对象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民营企业中的相关产业负责人、房地产开发、特色小镇、田园综合体相关投资商、开发商、相关产业链负责人；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计划进入康养产业的房地产开发企业，拥有存量物业的企业，酒店、医院、医疗机构、医药企业、养老机构、保险、康护、互联网企业等大健康产业链主体负责人；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规划设计院、工程建设、能源环保、文化创意、IT通信、娱乐传媒、商业咨询、制造业、金融管理公司、商业银行、其他投资机构负责人等。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="258" w:afterAutospacing="0" w:line="4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注：党政机关、事业单位、国有企业等国家公职人员不得参加或旁听。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340" w:lineRule="exact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03 | 报名条件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34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5年以上工作经验及3年以上高层管理经验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340" w:lineRule="exact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04 | 报名程序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8" w:afterAutospacing="0" w:line="4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填写《北京大学康养产业暨特色产业运营高级研修班》报名表；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8" w:afterAutospacing="0" w:line="4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学校对报名表进行审核，并向学员发出录取通知书；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8" w:afterAutospacing="0" w:line="4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学员收到录取通知书后3天内将学费汇至以下账户：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b/>
          <w:bCs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935" distR="114935" simplePos="0" relativeHeight="252281856" behindDoc="1" locked="0" layoutInCell="1" allowOverlap="1">
            <wp:simplePos x="0" y="0"/>
            <wp:positionH relativeFrom="column">
              <wp:posOffset>-1179195</wp:posOffset>
            </wp:positionH>
            <wp:positionV relativeFrom="page">
              <wp:posOffset>6362700</wp:posOffset>
            </wp:positionV>
            <wp:extent cx="7592695" cy="4364990"/>
            <wp:effectExtent l="0" t="0" r="8255" b="16510"/>
            <wp:wrapNone/>
            <wp:docPr id="9" name="图片 13" descr="9936206_174123704147_2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9936206_174123704147_2副本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695" cy="4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收款单位：北京大学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2" w:firstLineChars="200"/>
        <w:textAlignment w:val="auto"/>
        <w:outlineLvl w:val="9"/>
        <w:rPr>
          <w:b/>
          <w:bCs/>
          <w:szCs w:val="21"/>
        </w:rPr>
      </w:pPr>
      <w:r>
        <w:rPr>
          <w:b/>
          <w:bCs/>
          <w:szCs w:val="21"/>
        </w:rPr>
        <w:t>开 户 行：工商银行北京海淀西区支行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2" w:firstLineChars="200"/>
        <w:textAlignment w:val="auto"/>
        <w:outlineLvl w:val="9"/>
        <w:rPr>
          <w:b/>
          <w:bCs/>
          <w:szCs w:val="21"/>
        </w:rPr>
      </w:pPr>
      <w:r>
        <w:rPr>
          <w:b/>
          <w:bCs/>
          <w:szCs w:val="21"/>
        </w:rPr>
        <w:t>帐    号：0200004509089131151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38" w:afterAutospacing="0" w:line="40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4.学员报到应持本人身份证件，学历学位证书复印件，个人、单位简介各一份，近期免冠二寸彩色照片2张。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52" w:beforeAutospacing="0" w:after="258" w:afterAutospacing="0" w:line="340" w:lineRule="exact"/>
        <w:ind w:left="0" w:right="0"/>
        <w:textAlignment w:val="auto"/>
        <w:rPr>
          <w:rFonts w:hint="eastAsia" w:ascii="微软雅黑" w:hAnsi="微软雅黑" w:eastAsia="微软雅黑" w:cs="微软雅黑"/>
          <w:color w:val="C00000"/>
          <w:sz w:val="32"/>
          <w:szCs w:val="32"/>
        </w:rPr>
      </w:pPr>
      <w:r>
        <w:rPr>
          <w:rStyle w:val="9"/>
          <w:rFonts w:hint="eastAsia" w:ascii="微软雅黑" w:hAnsi="微软雅黑" w:eastAsia="微软雅黑" w:cs="微软雅黑"/>
          <w:b/>
          <w:color w:val="C00000"/>
          <w:sz w:val="32"/>
          <w:szCs w:val="32"/>
          <w:lang w:val="en-US" w:eastAsia="zh-CN"/>
        </w:rPr>
        <w:t xml:space="preserve">05 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 xml:space="preserve">| </w:t>
      </w:r>
      <w:r>
        <w:rPr>
          <w:rStyle w:val="9"/>
          <w:rFonts w:hint="eastAsia" w:ascii="微软雅黑" w:hAnsi="微软雅黑" w:eastAsia="微软雅黑" w:cs="微软雅黑"/>
          <w:b/>
          <w:color w:val="C00000"/>
          <w:sz w:val="32"/>
          <w:szCs w:val="32"/>
        </w:rPr>
        <w:t>学习费用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34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人民币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398</w:t>
      </w:r>
      <w:r>
        <w:rPr>
          <w:rFonts w:hint="eastAsia" w:ascii="宋体" w:hAnsi="宋体" w:eastAsia="宋体" w:cs="宋体"/>
          <w:sz w:val="24"/>
          <w:szCs w:val="24"/>
        </w:rPr>
        <w:t>00元（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其中包含课程费</w:t>
      </w:r>
      <w:r>
        <w:rPr>
          <w:rFonts w:hint="eastAsia" w:ascii="宋体" w:hAnsi="宋体" w:eastAsia="宋体" w:cs="宋体"/>
          <w:sz w:val="24"/>
          <w:szCs w:val="24"/>
        </w:rPr>
        <w:t>、讲义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制作费、结业证书</w:t>
      </w:r>
      <w:r>
        <w:rPr>
          <w:rFonts w:hint="eastAsia" w:ascii="宋体" w:hAnsi="宋体" w:eastAsia="宋体" w:cs="宋体"/>
          <w:sz w:val="24"/>
          <w:szCs w:val="24"/>
        </w:rPr>
        <w:t>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、管理费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340" w:lineRule="exact"/>
        <w:ind w:left="0" w:right="0"/>
        <w:textAlignment w:val="auto"/>
        <w:rPr>
          <w:rFonts w:hint="eastAsia" w:ascii="微软雅黑" w:hAnsi="微软雅黑" w:eastAsia="微软雅黑" w:cs="微软雅黑"/>
          <w:color w:val="C00000"/>
          <w:sz w:val="32"/>
          <w:szCs w:val="32"/>
        </w:rPr>
      </w:pPr>
      <w:r>
        <w:rPr>
          <w:rStyle w:val="9"/>
          <w:rFonts w:hint="eastAsia" w:ascii="微软雅黑" w:hAnsi="微软雅黑" w:eastAsia="微软雅黑" w:cs="微软雅黑"/>
          <w:b/>
          <w:color w:val="C00000"/>
          <w:sz w:val="32"/>
          <w:szCs w:val="32"/>
          <w:lang w:val="en-US" w:eastAsia="zh-CN"/>
        </w:rPr>
        <w:t xml:space="preserve">06 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|</w:t>
      </w:r>
      <w:r>
        <w:rPr>
          <w:rStyle w:val="9"/>
          <w:rFonts w:hint="eastAsia" w:ascii="微软雅黑" w:hAnsi="微软雅黑" w:eastAsia="微软雅黑" w:cs="微软雅黑"/>
          <w:b/>
          <w:color w:val="C00000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微软雅黑" w:hAnsi="微软雅黑" w:eastAsia="微软雅黑" w:cs="微软雅黑"/>
          <w:b/>
          <w:color w:val="C00000"/>
          <w:sz w:val="32"/>
          <w:szCs w:val="32"/>
        </w:rPr>
        <w:t>课程时间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34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每月一次，集中授课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天，共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课程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340" w:lineRule="exact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07 | 开学时间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340" w:lineRule="exact"/>
        <w:ind w:left="0" w:right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2020年11月7-8日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340" w:lineRule="exact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08 |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 xml:space="preserve">上课地点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340" w:lineRule="exact"/>
        <w:ind w:left="0"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北京大学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340" w:lineRule="exact"/>
        <w:ind w:left="0" w:right="0"/>
        <w:textAlignment w:val="auto"/>
        <w:rPr>
          <w:rFonts w:hint="eastAsia" w:ascii="微软雅黑" w:hAnsi="微软雅黑" w:eastAsia="微软雅黑" w:cs="微软雅黑"/>
          <w:color w:val="C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C00000"/>
          <w:sz w:val="32"/>
          <w:szCs w:val="32"/>
        </w:rPr>
        <w:drawing>
          <wp:anchor distT="0" distB="0" distL="114300" distR="114300" simplePos="0" relativeHeight="251985920" behindDoc="0" locked="0" layoutInCell="1" allowOverlap="1">
            <wp:simplePos x="0" y="0"/>
            <wp:positionH relativeFrom="column">
              <wp:posOffset>3860800</wp:posOffset>
            </wp:positionH>
            <wp:positionV relativeFrom="paragraph">
              <wp:posOffset>163830</wp:posOffset>
            </wp:positionV>
            <wp:extent cx="1852930" cy="1285240"/>
            <wp:effectExtent l="0" t="0" r="13970" b="10160"/>
            <wp:wrapSquare wrapText="bothSides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9"/>
          <w:rFonts w:hint="eastAsia" w:ascii="微软雅黑" w:hAnsi="微软雅黑" w:eastAsia="微软雅黑" w:cs="微软雅黑"/>
          <w:b/>
          <w:color w:val="C00000"/>
          <w:sz w:val="32"/>
          <w:szCs w:val="32"/>
          <w:lang w:val="en-US" w:eastAsia="zh-CN"/>
        </w:rPr>
        <w:t>09</w:t>
      </w:r>
      <w:r>
        <w:rPr>
          <w:rStyle w:val="9"/>
          <w:rFonts w:hint="eastAsia" w:ascii="微软雅黑" w:hAnsi="微软雅黑" w:eastAsia="微软雅黑" w:cs="微软雅黑"/>
          <w:b/>
          <w:color w:val="C00000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 xml:space="preserve">| </w:t>
      </w:r>
      <w:r>
        <w:rPr>
          <w:rStyle w:val="9"/>
          <w:rFonts w:hint="eastAsia" w:ascii="微软雅黑" w:hAnsi="微软雅黑" w:eastAsia="微软雅黑" w:cs="微软雅黑"/>
          <w:b/>
          <w:color w:val="C00000"/>
          <w:sz w:val="32"/>
          <w:szCs w:val="32"/>
        </w:rPr>
        <w:t>学习证书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完成所有课程，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颁发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北京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大学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康养产业暨特色产业运营高级研修班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结业证书，并成为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北京大学</w:t>
      </w:r>
      <w:r>
        <w:rPr>
          <w:rFonts w:hint="eastAsia" w:ascii="宋体" w:hAnsi="宋体" w:eastAsia="宋体" w:cs="宋体"/>
          <w:sz w:val="24"/>
          <w:szCs w:val="24"/>
        </w:rPr>
        <w:t>校友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，凭结业证书优先参加研修班组织的联谊、论坛、讲座。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304800" cy="304800"/>
            <wp:effectExtent l="0" t="0" r="0" b="0"/>
            <wp:docPr id="16" name="图片 1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 xml:space="preserve">10 | 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eastAsia="zh-CN"/>
        </w:rPr>
        <w:t>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2" w:beforeAutospacing="0" w:after="378" w:afterAutospacing="0" w:line="340" w:lineRule="exact"/>
        <w:ind w:left="0" w:right="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联系人：王老师  18511352185 </w:t>
      </w:r>
    </w:p>
    <w:p>
      <w:pPr>
        <w:spacing w:before="312" w:beforeLines="100" w:after="156" w:afterLines="50"/>
        <w:rPr>
          <w:rFonts w:ascii="微软雅黑" w:hAnsi="微软雅黑" w:eastAsia="微软雅黑" w:cs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 xml:space="preserve">11 | 师资力量  </w:t>
      </w:r>
    </w:p>
    <w:p>
      <w:pPr>
        <w:spacing w:line="400" w:lineRule="exact"/>
        <w:ind w:firstLine="480" w:firstLineChars="200"/>
        <w:rPr>
          <w:rFonts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>师资有国家部委相关部门领导，国内外著名专家学者，北大、清华等高校教授和国内外实战派专家。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935" distR="114935" simplePos="0" relativeHeight="252926976" behindDoc="1" locked="0" layoutInCell="1" allowOverlap="1">
            <wp:simplePos x="0" y="0"/>
            <wp:positionH relativeFrom="column">
              <wp:posOffset>-1161415</wp:posOffset>
            </wp:positionH>
            <wp:positionV relativeFrom="page">
              <wp:posOffset>6351270</wp:posOffset>
            </wp:positionV>
            <wp:extent cx="7592695" cy="4364990"/>
            <wp:effectExtent l="0" t="0" r="8255" b="16510"/>
            <wp:wrapNone/>
            <wp:docPr id="8" name="图片 13" descr="9936206_174123704147_2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9936206_174123704147_2副本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695" cy="4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color w:val="C00000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 xml:space="preserve"> | 拟邀师资备选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shd w:val="clear" w:color="auto" w:fill="FFFFFF"/>
          <w:lang w:val="en-US" w:eastAsia="zh-CN"/>
        </w:rPr>
        <w:t>所有师资排名顺序不分先后）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64" w:hanging="964" w:hangingChars="4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林  坚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北京大学城环学院城市与区域规划系系主任，教授，博士生导师，曾为中央政治局常委集中授课及讲解，介绍“土地政策”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64" w:hanging="964" w:hangingChars="4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李双成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北京大学城市与环境学院副院长，北京大学城市与环境学院自然地理教研室主任。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64" w:leftChars="0" w:hanging="964" w:hangingChars="4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吴必虎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北京大学城市与环境学院城市与区域规划系教授 博士生导师，北京大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58" w:leftChars="456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学城市与环境学院旅游研究与规划中心主任，主要研究领域有城市与区域旅游规划、目的地管理与营销以及更广泛的旅游与游憩研究等。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64" w:leftChars="0" w:hanging="964" w:hangingChars="4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向  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北京大学文化产业研究院副院长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64" w:hanging="964" w:hangingChars="4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李  玲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经济学教授，北京大学健康发展研究中心主任、国务院医改专家、健康中国2030规划纲要核心专家，国务院特殊津贴获得者，担任国务院城镇居民基本医疗保险试点评估专家组成员、国务院城镇居民基本医疗保险试点评估专家组成员、世界银行中国医疗卫生改革专家顾问、是国内最早提出政府主导公共卫生医疗的学者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64" w:hanging="964" w:hangingChars="4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王岳川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当代中国书法“文化书法”理论创始人，北京大学中文系教授、博士生导师，享受国务院特殊津贴专家。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64" w:leftChars="0" w:hanging="964" w:hangingChars="4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李  忠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华高莱斯董事长兼总经理，中国最具独特见地的城市咨询专家，首规委专家组最年轻成员，中国最早从事城市咨询的独立策划人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64" w:leftChars="0" w:hanging="964" w:hangingChars="4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吴维海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国家发改委国际合作中心执行总监、研究员，中国人民大学管理学博士；国合华夏城市规划研究院执行院长，多个地方政府规划顾问。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64" w:leftChars="0" w:hanging="964" w:hangingChars="4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刘  嵘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中国老年保健医学研究会医养健康工委会会长，中国医养健康文旅产业联席会会长。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64" w:hanging="964" w:hangingChars="4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刘光溪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莒北管帅双绿研究院学术委员会主任，中国双绿66人圆桌会专家委员会主席，中国首位WTO专业方向经济学博士、复旦大学政治学博士，博导，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中国国际贸易促进委员云南省委员会主任、中国国际商会常务理事。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64" w:hanging="964" w:hangingChars="4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侯胜田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北京中医药大学管理学院教授，管理学博士，兼任清华大学社科学院健康产业与管理研究中心副主任、北京市中医生态文化研究会健康旅游专业委员会会长、中国林学会森林疗养分会理事。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64" w:hanging="964" w:hangingChars="4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魏玉栋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历任农业部机关刊《农村工作通讯》（毛泽东主席题名）常务副主编、《农民文摘》主编、传统村落保护中央督查组组长、农业部美丽乡村创建办公室主任等职，兼任世界绿色设计组织乡村发展专委会执行秘书长。国家行政学院（中央党校）国家中高级干部培训课程授课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64" w:hanging="964" w:hangingChars="4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屠长风 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国家智库）中国兰图智业研究院特聘专家和金融委副主任；中国创意研究院副院长；绿维创景战略规划研究院院长。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64" w:hanging="964" w:hangingChars="4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刘峻杰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MPA研究生，在中央、地方曾任处长、副部长、副专员（市长）、部长，高级经济师、大学客座教授，现任全国促进中医服务大众委员会副主任、中医智库成员。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120" w:hanging="1120" w:hangingChars="4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2261376" behindDoc="1" locked="0" layoutInCell="1" allowOverlap="1">
            <wp:simplePos x="0" y="0"/>
            <wp:positionH relativeFrom="column">
              <wp:posOffset>-1169670</wp:posOffset>
            </wp:positionH>
            <wp:positionV relativeFrom="page">
              <wp:posOffset>6324600</wp:posOffset>
            </wp:positionV>
            <wp:extent cx="7592695" cy="4364990"/>
            <wp:effectExtent l="0" t="0" r="8255" b="16510"/>
            <wp:wrapNone/>
            <wp:docPr id="4" name="图片 13" descr="9936206_174123704147_2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9936206_174123704147_2副本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695" cy="4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李定纲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主任医师，北京陆道培血液病医院执行院长，中国医疗保健促进会国际医疗旅游分会执行副会长。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1667456" behindDoc="1" locked="0" layoutInCell="1" allowOverlap="1">
            <wp:simplePos x="0" y="0"/>
            <wp:positionH relativeFrom="column">
              <wp:posOffset>-1143000</wp:posOffset>
            </wp:positionH>
            <wp:positionV relativeFrom="page">
              <wp:posOffset>5925185</wp:posOffset>
            </wp:positionV>
            <wp:extent cx="7592695" cy="4364990"/>
            <wp:effectExtent l="0" t="0" r="8255" b="16510"/>
            <wp:wrapNone/>
            <wp:docPr id="3" name="图片 13" descr="9936206_174123704147_2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 descr="9936206_174123704147_2副本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695" cy="4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default" w:eastAsiaTheme="minorEastAsia"/>
        <w:color w:val="C00000"/>
        <w:lang w:val="en-US" w:eastAsia="zh-CN"/>
      </w:rPr>
    </w:pPr>
    <w:r>
      <w:rPr>
        <w:rFonts w:hint="eastAsia"/>
      </w:rPr>
      <w:drawing>
        <wp:inline distT="0" distB="0" distL="114300" distR="114300">
          <wp:extent cx="1644015" cy="430530"/>
          <wp:effectExtent l="0" t="0" r="13335" b="7620"/>
          <wp:docPr id="2" name="图片 2" descr="cd7ec49423d2ecda34ca992d5728e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d7ec49423d2ecda34ca992d5728e1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401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</w:t>
    </w:r>
  </w:p>
  <w:p>
    <w:pPr>
      <w:pStyle w:val="4"/>
      <w:pBdr>
        <w:bottom w:val="double" w:color="auto" w:sz="8" w:space="1"/>
      </w:pBdr>
      <w:rPr>
        <w:rFonts w:hint="default" w:eastAsiaTheme="minor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26EBC"/>
    <w:multiLevelType w:val="singleLevel"/>
    <w:tmpl w:val="57326E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26182"/>
    <w:rsid w:val="00791E47"/>
    <w:rsid w:val="01A63274"/>
    <w:rsid w:val="020429DF"/>
    <w:rsid w:val="028A130E"/>
    <w:rsid w:val="028C7275"/>
    <w:rsid w:val="06E758F2"/>
    <w:rsid w:val="07D84050"/>
    <w:rsid w:val="08055909"/>
    <w:rsid w:val="084347AF"/>
    <w:rsid w:val="094C5678"/>
    <w:rsid w:val="09E62ABE"/>
    <w:rsid w:val="0A663D5B"/>
    <w:rsid w:val="0CC779CC"/>
    <w:rsid w:val="0CE87B98"/>
    <w:rsid w:val="0D4A5BA3"/>
    <w:rsid w:val="0E421681"/>
    <w:rsid w:val="0E421E65"/>
    <w:rsid w:val="0E580123"/>
    <w:rsid w:val="100C7FC6"/>
    <w:rsid w:val="107B21BB"/>
    <w:rsid w:val="13EC557C"/>
    <w:rsid w:val="145A5D72"/>
    <w:rsid w:val="14E372C2"/>
    <w:rsid w:val="15D40B69"/>
    <w:rsid w:val="172524CB"/>
    <w:rsid w:val="185B51B4"/>
    <w:rsid w:val="194054B7"/>
    <w:rsid w:val="1A594145"/>
    <w:rsid w:val="1C5B3ACD"/>
    <w:rsid w:val="1D8F6DAD"/>
    <w:rsid w:val="1DB16E4D"/>
    <w:rsid w:val="1E7B4421"/>
    <w:rsid w:val="1F3F16BD"/>
    <w:rsid w:val="205E46E7"/>
    <w:rsid w:val="238F7B26"/>
    <w:rsid w:val="23924B45"/>
    <w:rsid w:val="239B7DB8"/>
    <w:rsid w:val="24532449"/>
    <w:rsid w:val="2572155F"/>
    <w:rsid w:val="264053DC"/>
    <w:rsid w:val="26951EB7"/>
    <w:rsid w:val="274D3A4B"/>
    <w:rsid w:val="274D6B66"/>
    <w:rsid w:val="280A2EBF"/>
    <w:rsid w:val="29490A67"/>
    <w:rsid w:val="2A0F10FF"/>
    <w:rsid w:val="2AEF637D"/>
    <w:rsid w:val="2C612141"/>
    <w:rsid w:val="2DE75120"/>
    <w:rsid w:val="301B19BC"/>
    <w:rsid w:val="314F0FD0"/>
    <w:rsid w:val="3D7E358F"/>
    <w:rsid w:val="3E047E02"/>
    <w:rsid w:val="3FE1728D"/>
    <w:rsid w:val="41933FE1"/>
    <w:rsid w:val="42E66490"/>
    <w:rsid w:val="43A56EF4"/>
    <w:rsid w:val="454C2BEF"/>
    <w:rsid w:val="46A26182"/>
    <w:rsid w:val="46D24ACD"/>
    <w:rsid w:val="46D34A2F"/>
    <w:rsid w:val="482E5CAD"/>
    <w:rsid w:val="498412F6"/>
    <w:rsid w:val="49F50975"/>
    <w:rsid w:val="4A0F2295"/>
    <w:rsid w:val="4BD77AFB"/>
    <w:rsid w:val="4BDE7F66"/>
    <w:rsid w:val="4D0D0BA1"/>
    <w:rsid w:val="4DA47791"/>
    <w:rsid w:val="4E950F57"/>
    <w:rsid w:val="51A136B3"/>
    <w:rsid w:val="5202668E"/>
    <w:rsid w:val="521E326F"/>
    <w:rsid w:val="52920E7F"/>
    <w:rsid w:val="54A962B5"/>
    <w:rsid w:val="5730363C"/>
    <w:rsid w:val="58627115"/>
    <w:rsid w:val="5B3048FD"/>
    <w:rsid w:val="5BC03C00"/>
    <w:rsid w:val="5DE351B9"/>
    <w:rsid w:val="5E267BA7"/>
    <w:rsid w:val="5FBD7EBC"/>
    <w:rsid w:val="604576C3"/>
    <w:rsid w:val="6084174D"/>
    <w:rsid w:val="612A0CEF"/>
    <w:rsid w:val="61B24E81"/>
    <w:rsid w:val="624C37C0"/>
    <w:rsid w:val="62DC29C9"/>
    <w:rsid w:val="6388164F"/>
    <w:rsid w:val="63EF6AFF"/>
    <w:rsid w:val="653F4906"/>
    <w:rsid w:val="66202E70"/>
    <w:rsid w:val="67086C06"/>
    <w:rsid w:val="67827F80"/>
    <w:rsid w:val="688D23B4"/>
    <w:rsid w:val="6A2E2ABF"/>
    <w:rsid w:val="6DBB62F8"/>
    <w:rsid w:val="6EE107D1"/>
    <w:rsid w:val="6EEF7A5A"/>
    <w:rsid w:val="6F9B1484"/>
    <w:rsid w:val="6FC30AE2"/>
    <w:rsid w:val="6FC81AB1"/>
    <w:rsid w:val="6FEA1FD7"/>
    <w:rsid w:val="724366C6"/>
    <w:rsid w:val="725A6A19"/>
    <w:rsid w:val="72862E9A"/>
    <w:rsid w:val="732B60B8"/>
    <w:rsid w:val="75793338"/>
    <w:rsid w:val="75895A20"/>
    <w:rsid w:val="76E82D68"/>
    <w:rsid w:val="772D7D32"/>
    <w:rsid w:val="785A1147"/>
    <w:rsid w:val="78B9577D"/>
    <w:rsid w:val="7A1D76E6"/>
    <w:rsid w:val="7ABF58D3"/>
    <w:rsid w:val="7C882DF9"/>
    <w:rsid w:val="7CBB29BC"/>
    <w:rsid w:val="7FA3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../NUL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3204</Words>
  <Characters>3363</Characters>
  <Lines>0</Lines>
  <Paragraphs>0</Paragraphs>
  <TotalTime>24</TotalTime>
  <ScaleCrop>false</ScaleCrop>
  <LinksUpToDate>false</LinksUpToDate>
  <CharactersWithSpaces>3452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2019-07-01T02:15:00Z</dcterms:created>
  <dc:creator>燕北文殊书院   吉老师</dc:creator>
  <cp:lastModifiedBy>WPS_1597366483</cp:lastModifiedBy>
  <cp:lastPrinted>2019-07-01T08:42:00Z</cp:lastPrinted>
  <dcterms:modified xsi:type="dcterms:W3CDTF">2020-10-29T02:03:16Z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