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r>
        <w:rPr>
          <w:color w:val="auto"/>
          <w:sz w:val="24"/>
          <w:szCs w:val="24"/>
        </w:rPr>
        <w:drawing>
          <wp:anchor distT="0" distB="0" distL="114300" distR="114300" simplePos="0" relativeHeight="251658240"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pPr>
        <w:spacing w:after="0" w:line="200" w:lineRule="exact"/>
        <w:rPr>
          <w:color w:val="auto"/>
          <w:sz w:val="24"/>
          <w:szCs w:val="24"/>
        </w:rPr>
      </w:pPr>
    </w:p>
    <w:p>
      <w:pPr>
        <w:spacing w:after="0" w:line="200" w:lineRule="exact"/>
        <w:rPr>
          <w:color w:val="auto"/>
          <w:sz w:val="24"/>
          <w:szCs w:val="24"/>
        </w:rPr>
      </w:pPr>
    </w:p>
    <w:p>
      <w:pPr>
        <w:spacing w:after="0" w:line="309" w:lineRule="exact"/>
        <w:rPr>
          <w:color w:val="auto"/>
          <w:sz w:val="24"/>
          <w:szCs w:val="24"/>
        </w:rPr>
      </w:pPr>
    </w:p>
    <w:p>
      <w:pPr>
        <w:spacing w:after="0" w:line="411" w:lineRule="exact"/>
        <w:ind w:right="120"/>
        <w:jc w:val="center"/>
        <w:rPr>
          <w:color w:val="auto"/>
          <w:sz w:val="20"/>
          <w:szCs w:val="20"/>
        </w:rPr>
      </w:pPr>
      <w:r>
        <w:rPr>
          <w:rFonts w:ascii="宋体" w:hAnsi="宋体" w:eastAsia="宋体" w:cs="宋体"/>
          <w:b/>
          <w:bCs/>
          <w:color w:val="auto"/>
          <w:sz w:val="36"/>
          <w:szCs w:val="36"/>
        </w:rPr>
        <w:t>北京大学金融与投资研修班</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67" w:lineRule="exact"/>
        <w:rPr>
          <w:color w:val="auto"/>
          <w:sz w:val="24"/>
          <w:szCs w:val="24"/>
        </w:rPr>
      </w:pPr>
    </w:p>
    <w:p>
      <w:pPr>
        <w:spacing w:after="0" w:line="274" w:lineRule="exact"/>
        <w:rPr>
          <w:color w:val="auto"/>
          <w:sz w:val="20"/>
          <w:szCs w:val="20"/>
        </w:rPr>
      </w:pPr>
      <w:r>
        <w:rPr>
          <w:rFonts w:ascii="宋体" w:hAnsi="宋体" w:eastAsia="宋体" w:cs="宋体"/>
          <w:b/>
          <w:bCs/>
          <w:color w:val="auto"/>
          <w:sz w:val="24"/>
          <w:szCs w:val="24"/>
        </w:rPr>
        <w:t>【教育单位】</w:t>
      </w:r>
    </w:p>
    <w:p>
      <w:pPr>
        <w:spacing w:after="0" w:line="206" w:lineRule="exact"/>
        <w:rPr>
          <w:color w:val="auto"/>
          <w:sz w:val="24"/>
          <w:szCs w:val="24"/>
        </w:rPr>
      </w:pPr>
    </w:p>
    <w:p>
      <w:pPr>
        <w:spacing w:after="0" w:line="316" w:lineRule="exact"/>
        <w:ind w:firstLine="480"/>
        <w:rPr>
          <w:color w:val="auto"/>
          <w:sz w:val="20"/>
          <w:szCs w:val="20"/>
        </w:rPr>
      </w:pPr>
      <w:r>
        <w:rPr>
          <w:rFonts w:ascii="宋体" w:hAnsi="宋体" w:eastAsia="宋体" w:cs="宋体"/>
          <w:color w:val="auto"/>
          <w:sz w:val="24"/>
          <w:szCs w:val="24"/>
        </w:rPr>
        <w:t>北京大学是教育部直属的国家重点大学，是国家</w:t>
      </w:r>
      <w:r>
        <w:rPr>
          <w:rFonts w:ascii="Arial" w:hAnsi="Arial" w:eastAsia="Arial" w:cs="Arial"/>
          <w:color w:val="auto"/>
          <w:sz w:val="24"/>
          <w:szCs w:val="24"/>
        </w:rPr>
        <w:t xml:space="preserve">“211 </w:t>
      </w:r>
      <w:r>
        <w:rPr>
          <w:rFonts w:ascii="宋体" w:hAnsi="宋体" w:eastAsia="宋体" w:cs="宋体"/>
          <w:color w:val="auto"/>
          <w:sz w:val="24"/>
          <w:szCs w:val="24"/>
        </w:rPr>
        <w:t>工程</w:t>
      </w:r>
      <w:r>
        <w:rPr>
          <w:rFonts w:ascii="Arial" w:hAnsi="Arial" w:eastAsia="Arial" w:cs="Arial"/>
          <w:color w:val="auto"/>
          <w:sz w:val="24"/>
          <w:szCs w:val="24"/>
        </w:rPr>
        <w:t>”</w:t>
      </w:r>
      <w:r>
        <w:rPr>
          <w:rFonts w:ascii="宋体" w:hAnsi="宋体" w:eastAsia="宋体" w:cs="宋体"/>
          <w:color w:val="auto"/>
          <w:sz w:val="24"/>
          <w:szCs w:val="24"/>
        </w:rPr>
        <w:t>重点建设院校。北京大学经济学院是北京大学历史最悠久的院系之一，也是中国高等院校中最早建立的专门的经济系科。</w:t>
      </w:r>
    </w:p>
    <w:p>
      <w:pPr>
        <w:spacing w:after="0" w:line="225" w:lineRule="exact"/>
        <w:rPr>
          <w:color w:val="auto"/>
          <w:sz w:val="24"/>
          <w:szCs w:val="24"/>
        </w:rPr>
      </w:pPr>
    </w:p>
    <w:p>
      <w:pPr>
        <w:spacing w:after="0" w:line="279" w:lineRule="exact"/>
        <w:ind w:left="480"/>
        <w:rPr>
          <w:color w:val="auto"/>
          <w:sz w:val="20"/>
          <w:szCs w:val="20"/>
        </w:rPr>
      </w:pPr>
      <w:r>
        <w:rPr>
          <w:rFonts w:ascii="Arial" w:hAnsi="Arial" w:eastAsia="Arial" w:cs="Arial"/>
          <w:color w:val="auto"/>
          <w:sz w:val="23"/>
          <w:szCs w:val="23"/>
        </w:rPr>
        <w:t xml:space="preserve">1898 </w:t>
      </w:r>
      <w:r>
        <w:rPr>
          <w:rFonts w:ascii="宋体" w:hAnsi="宋体" w:eastAsia="宋体" w:cs="宋体"/>
          <w:color w:val="auto"/>
          <w:sz w:val="23"/>
          <w:szCs w:val="23"/>
        </w:rPr>
        <w:t>年，北京大学的前身京师大学堂成立时就有经济学课程。</w:t>
      </w:r>
      <w:r>
        <w:rPr>
          <w:rFonts w:ascii="Arial" w:hAnsi="Arial" w:eastAsia="Arial" w:cs="Arial"/>
          <w:color w:val="auto"/>
          <w:sz w:val="23"/>
          <w:szCs w:val="23"/>
        </w:rPr>
        <w:t xml:space="preserve">1912 </w:t>
      </w:r>
      <w:r>
        <w:rPr>
          <w:rFonts w:ascii="宋体" w:hAnsi="宋体" w:eastAsia="宋体" w:cs="宋体"/>
          <w:color w:val="auto"/>
          <w:sz w:val="23"/>
          <w:szCs w:val="23"/>
        </w:rPr>
        <w:t>年，京师大学堂改名</w:t>
      </w:r>
    </w:p>
    <w:p>
      <w:pPr>
        <w:spacing w:after="0" w:line="69" w:lineRule="exact"/>
        <w:rPr>
          <w:color w:val="auto"/>
          <w:sz w:val="24"/>
          <w:szCs w:val="24"/>
        </w:rPr>
      </w:pPr>
    </w:p>
    <w:p>
      <w:pPr>
        <w:spacing w:after="0" w:line="333" w:lineRule="exact"/>
        <w:ind w:right="140"/>
        <w:jc w:val="both"/>
        <w:rPr>
          <w:color w:val="auto"/>
          <w:sz w:val="20"/>
          <w:szCs w:val="20"/>
        </w:rPr>
      </w:pPr>
      <w:r>
        <w:rPr>
          <w:rFonts w:ascii="宋体" w:hAnsi="宋体" w:eastAsia="宋体" w:cs="宋体"/>
          <w:color w:val="auto"/>
          <w:sz w:val="24"/>
          <w:szCs w:val="24"/>
        </w:rPr>
        <w:t>国立北京大学，严复先生是首任校长，始建经济学门（系）。无论是马克思主义经济学的传播与研究，还是西方经济学的引进，北京大学经济学院（系）在国内都是最早的。</w:t>
      </w:r>
      <w:r>
        <w:rPr>
          <w:rFonts w:ascii="Arial" w:hAnsi="Arial" w:eastAsia="Arial" w:cs="Arial"/>
          <w:color w:val="auto"/>
          <w:sz w:val="24"/>
          <w:szCs w:val="24"/>
        </w:rPr>
        <w:t xml:space="preserve">1901 </w:t>
      </w:r>
      <w:r>
        <w:rPr>
          <w:rFonts w:ascii="宋体" w:hAnsi="宋体" w:eastAsia="宋体" w:cs="宋体"/>
          <w:color w:val="auto"/>
          <w:sz w:val="24"/>
          <w:szCs w:val="24"/>
        </w:rPr>
        <w:t>年，严复先生翻译《国富论》，标志着西方经济学在中国的正式传播的开始。李大钊教授在国内最早系统介绍马克思主义。</w:t>
      </w:r>
      <w:r>
        <w:rPr>
          <w:rFonts w:ascii="Arial" w:hAnsi="Arial" w:eastAsia="Arial" w:cs="Arial"/>
          <w:color w:val="auto"/>
          <w:sz w:val="24"/>
          <w:szCs w:val="24"/>
        </w:rPr>
        <w:t xml:space="preserve">1931 </w:t>
      </w:r>
      <w:r>
        <w:rPr>
          <w:rFonts w:ascii="宋体" w:hAnsi="宋体" w:eastAsia="宋体" w:cs="宋体"/>
          <w:color w:val="auto"/>
          <w:sz w:val="24"/>
          <w:szCs w:val="24"/>
        </w:rPr>
        <w:t>年，陈启修教授开始翻译《资本论》。</w:t>
      </w:r>
    </w:p>
    <w:p>
      <w:pPr>
        <w:spacing w:after="0" w:line="227" w:lineRule="exact"/>
        <w:rPr>
          <w:color w:val="auto"/>
          <w:sz w:val="24"/>
          <w:szCs w:val="24"/>
        </w:rPr>
      </w:pPr>
    </w:p>
    <w:p>
      <w:pPr>
        <w:spacing w:after="0" w:line="326" w:lineRule="exact"/>
        <w:ind w:firstLine="480"/>
        <w:rPr>
          <w:color w:val="auto"/>
          <w:sz w:val="20"/>
          <w:szCs w:val="20"/>
        </w:rPr>
      </w:pPr>
      <w:r>
        <w:rPr>
          <w:rFonts w:ascii="宋体" w:hAnsi="宋体" w:eastAsia="宋体" w:cs="宋体"/>
          <w:color w:val="auto"/>
          <w:sz w:val="24"/>
          <w:szCs w:val="24"/>
        </w:rPr>
        <w:t>北京大学经济学院百余年的历史中，涌现出很多在学界享有崇高声誉、学养深厚，影响深远的大师级人物，可谓</w:t>
      </w:r>
      <w:r>
        <w:rPr>
          <w:rFonts w:ascii="Arial" w:hAnsi="Arial" w:eastAsia="Arial" w:cs="Arial"/>
          <w:color w:val="auto"/>
          <w:sz w:val="24"/>
          <w:szCs w:val="24"/>
        </w:rPr>
        <w:t>“</w:t>
      </w:r>
      <w:r>
        <w:rPr>
          <w:rFonts w:ascii="宋体" w:hAnsi="宋体" w:eastAsia="宋体" w:cs="宋体"/>
          <w:color w:val="auto"/>
          <w:sz w:val="24"/>
          <w:szCs w:val="24"/>
        </w:rPr>
        <w:t>大师如林，贡献卓著</w:t>
      </w:r>
      <w:r>
        <w:rPr>
          <w:rFonts w:ascii="Arial" w:hAnsi="Arial" w:eastAsia="Arial" w:cs="Arial"/>
          <w:color w:val="auto"/>
          <w:sz w:val="24"/>
          <w:szCs w:val="24"/>
        </w:rPr>
        <w:t>”</w:t>
      </w:r>
      <w:r>
        <w:rPr>
          <w:rFonts w:ascii="宋体" w:hAnsi="宋体" w:eastAsia="宋体" w:cs="宋体"/>
          <w:color w:val="auto"/>
          <w:sz w:val="24"/>
          <w:szCs w:val="24"/>
        </w:rPr>
        <w:t>。如李大钊、马寅初、赵迺抟、陈岱孙、樊弘、陈振汉、熊正文、杜度、赵靖等。数代学者为我国经济科学的发展做出了卓越的贡献。</w:t>
      </w:r>
    </w:p>
    <w:p>
      <w:pPr>
        <w:spacing w:after="0" w:line="228" w:lineRule="exact"/>
        <w:rPr>
          <w:color w:val="auto"/>
          <w:sz w:val="24"/>
          <w:szCs w:val="24"/>
        </w:rPr>
      </w:pPr>
    </w:p>
    <w:p>
      <w:pPr>
        <w:spacing w:after="0" w:line="326" w:lineRule="exact"/>
        <w:ind w:right="160" w:firstLine="480"/>
        <w:jc w:val="both"/>
        <w:rPr>
          <w:color w:val="auto"/>
          <w:sz w:val="20"/>
          <w:szCs w:val="20"/>
        </w:rPr>
      </w:pPr>
      <w:r>
        <w:rPr>
          <w:rFonts w:ascii="宋体" w:hAnsi="宋体" w:eastAsia="宋体" w:cs="宋体"/>
          <w:color w:val="auto"/>
          <w:sz w:val="24"/>
          <w:szCs w:val="24"/>
        </w:rPr>
        <w:t>北京大学经济学院是国家教育部确定的</w:t>
      </w:r>
      <w:r>
        <w:rPr>
          <w:rFonts w:ascii="Arial" w:hAnsi="Arial" w:eastAsia="Arial" w:cs="Arial"/>
          <w:color w:val="auto"/>
          <w:sz w:val="24"/>
          <w:szCs w:val="24"/>
        </w:rPr>
        <w:t>“</w:t>
      </w:r>
      <w:r>
        <w:rPr>
          <w:rFonts w:ascii="宋体" w:hAnsi="宋体" w:eastAsia="宋体" w:cs="宋体"/>
          <w:color w:val="auto"/>
          <w:sz w:val="24"/>
          <w:szCs w:val="24"/>
        </w:rPr>
        <w:t>国家经济学基础人才培养基地</w:t>
      </w:r>
      <w:r>
        <w:rPr>
          <w:rFonts w:ascii="Arial" w:hAnsi="Arial" w:eastAsia="Arial" w:cs="Arial"/>
          <w:color w:val="auto"/>
          <w:sz w:val="24"/>
          <w:szCs w:val="24"/>
        </w:rPr>
        <w:t>”</w:t>
      </w:r>
      <w:r>
        <w:rPr>
          <w:rFonts w:ascii="宋体" w:hAnsi="宋体" w:eastAsia="宋体" w:cs="宋体"/>
          <w:color w:val="auto"/>
          <w:sz w:val="24"/>
          <w:szCs w:val="24"/>
        </w:rPr>
        <w:t>和</w:t>
      </w:r>
      <w:r>
        <w:rPr>
          <w:rFonts w:ascii="Arial" w:hAnsi="Arial" w:eastAsia="Arial" w:cs="Arial"/>
          <w:color w:val="auto"/>
          <w:sz w:val="24"/>
          <w:szCs w:val="24"/>
        </w:rPr>
        <w:t>“</w:t>
      </w:r>
      <w:r>
        <w:rPr>
          <w:rFonts w:ascii="宋体" w:hAnsi="宋体" w:eastAsia="宋体" w:cs="宋体"/>
          <w:color w:val="auto"/>
          <w:sz w:val="24"/>
          <w:szCs w:val="24"/>
        </w:rPr>
        <w:t>全国人才培养模式创新实验区</w:t>
      </w:r>
      <w:r>
        <w:rPr>
          <w:rFonts w:ascii="Arial" w:hAnsi="Arial" w:eastAsia="Arial" w:cs="Arial"/>
          <w:color w:val="auto"/>
          <w:sz w:val="24"/>
          <w:szCs w:val="24"/>
        </w:rPr>
        <w:t>”</w:t>
      </w:r>
      <w:r>
        <w:rPr>
          <w:rFonts w:ascii="宋体" w:hAnsi="宋体" w:eastAsia="宋体" w:cs="宋体"/>
          <w:color w:val="auto"/>
          <w:sz w:val="24"/>
          <w:szCs w:val="24"/>
        </w:rPr>
        <w:t>。其悠久的历史、深厚的学术底蕴、重要的学术地位、不断创新的人才培养模式，吸引着来自全国乃至世界各地的优秀学子。</w:t>
      </w:r>
    </w:p>
    <w:p>
      <w:pPr>
        <w:spacing w:after="0" w:line="215" w:lineRule="exact"/>
        <w:rPr>
          <w:color w:val="auto"/>
          <w:sz w:val="24"/>
          <w:szCs w:val="24"/>
        </w:rPr>
      </w:pPr>
    </w:p>
    <w:p>
      <w:pPr>
        <w:spacing w:after="0" w:line="274" w:lineRule="exact"/>
        <w:rPr>
          <w:color w:val="auto"/>
          <w:sz w:val="20"/>
          <w:szCs w:val="20"/>
        </w:rPr>
      </w:pPr>
      <w:r>
        <w:rPr>
          <w:rFonts w:ascii="宋体" w:hAnsi="宋体" w:eastAsia="宋体" w:cs="宋体"/>
          <w:b/>
          <w:bCs/>
          <w:color w:val="auto"/>
          <w:sz w:val="24"/>
          <w:szCs w:val="24"/>
        </w:rPr>
        <w:t>【研修背景】</w:t>
      </w:r>
    </w:p>
    <w:p>
      <w:pPr>
        <w:spacing w:after="0" w:line="206" w:lineRule="exact"/>
        <w:rPr>
          <w:color w:val="auto"/>
          <w:sz w:val="24"/>
          <w:szCs w:val="24"/>
        </w:rPr>
      </w:pPr>
    </w:p>
    <w:p>
      <w:pPr>
        <w:spacing w:after="0" w:line="336" w:lineRule="exact"/>
        <w:ind w:right="160" w:firstLine="485"/>
        <w:jc w:val="both"/>
        <w:rPr>
          <w:color w:val="auto"/>
          <w:sz w:val="18"/>
          <w:szCs w:val="18"/>
        </w:rPr>
      </w:pPr>
      <w:r>
        <w:rPr>
          <w:rFonts w:ascii="宋体" w:hAnsi="宋体" w:eastAsia="宋体" w:cs="宋体"/>
          <w:color w:val="auto"/>
          <w:sz w:val="24"/>
          <w:szCs w:val="24"/>
        </w:rPr>
        <w:t>当前，中国金融政策及热点问题越来越受到广泛关注，国内、国际金融市场高度关联并互相产生深远影响。</w:t>
      </w:r>
      <w:r>
        <w:rPr>
          <w:rFonts w:ascii="Arial" w:hAnsi="Arial" w:eastAsia="Arial" w:cs="Arial"/>
          <w:color w:val="auto"/>
          <w:sz w:val="24"/>
          <w:szCs w:val="24"/>
        </w:rPr>
        <w:t>“</w:t>
      </w:r>
      <w:r>
        <w:rPr>
          <w:rFonts w:ascii="宋体" w:hAnsi="宋体" w:eastAsia="宋体" w:cs="宋体"/>
          <w:color w:val="auto"/>
          <w:sz w:val="24"/>
          <w:szCs w:val="24"/>
        </w:rPr>
        <w:t>北京大学金</w:t>
      </w:r>
      <w:bookmarkStart w:id="6" w:name="_GoBack"/>
      <w:r>
        <w:rPr>
          <w:rFonts w:ascii="宋体" w:hAnsi="宋体" w:eastAsia="宋体" w:cs="宋体"/>
          <w:color w:val="auto"/>
          <w:sz w:val="22"/>
          <w:szCs w:val="22"/>
        </w:rPr>
        <w:t>融与投资研修班</w:t>
      </w:r>
      <w:r>
        <w:rPr>
          <w:rFonts w:ascii="Arial" w:hAnsi="Arial" w:eastAsia="Arial" w:cs="Arial"/>
          <w:color w:val="auto"/>
          <w:sz w:val="22"/>
          <w:szCs w:val="22"/>
        </w:rPr>
        <w:t>”</w:t>
      </w:r>
      <w:r>
        <w:rPr>
          <w:rFonts w:ascii="宋体" w:hAnsi="宋体" w:eastAsia="宋体" w:cs="宋体"/>
          <w:color w:val="auto"/>
          <w:sz w:val="22"/>
          <w:szCs w:val="22"/>
        </w:rPr>
        <w:t>将引领未来金融家、投资家顺应世界多极化、经济全球化、文化多样化、社会信息化的潮流，突破同类课程仅限于</w:t>
      </w:r>
      <w:r>
        <w:rPr>
          <w:rFonts w:ascii="Arial" w:hAnsi="Arial" w:eastAsia="Arial" w:cs="Arial"/>
          <w:color w:val="auto"/>
          <w:sz w:val="22"/>
          <w:szCs w:val="22"/>
        </w:rPr>
        <w:t>“</w:t>
      </w:r>
      <w:r>
        <w:rPr>
          <w:rFonts w:ascii="宋体" w:hAnsi="宋体" w:eastAsia="宋体" w:cs="宋体"/>
          <w:color w:val="auto"/>
          <w:sz w:val="22"/>
          <w:szCs w:val="22"/>
        </w:rPr>
        <w:t>术</w:t>
      </w:r>
      <w:r>
        <w:rPr>
          <w:rFonts w:ascii="Arial" w:hAnsi="Arial" w:eastAsia="Arial" w:cs="Arial"/>
          <w:color w:val="auto"/>
          <w:sz w:val="22"/>
          <w:szCs w:val="22"/>
        </w:rPr>
        <w:t>”</w:t>
      </w:r>
      <w:r>
        <w:rPr>
          <w:rFonts w:ascii="宋体" w:hAnsi="宋体" w:eastAsia="宋体" w:cs="宋体"/>
          <w:color w:val="auto"/>
          <w:sz w:val="22"/>
          <w:szCs w:val="22"/>
        </w:rPr>
        <w:t>层面进行讲解所导致的同质性，以前沿的课程内容，多层次、多维度的延展决策者的视野，以全局的胸怀，世界的眼光，把握金融政策动向，追踪前沿热点问题，发现投资价值。</w:t>
      </w:r>
    </w:p>
    <w:p>
      <w:pPr>
        <w:spacing w:after="0" w:line="225" w:lineRule="exact"/>
        <w:rPr>
          <w:color w:val="auto"/>
          <w:sz w:val="22"/>
          <w:szCs w:val="22"/>
        </w:rPr>
      </w:pPr>
    </w:p>
    <w:p>
      <w:pPr>
        <w:spacing w:after="0" w:line="338" w:lineRule="exact"/>
        <w:ind w:firstLine="480"/>
        <w:rPr>
          <w:color w:val="auto"/>
          <w:sz w:val="18"/>
          <w:szCs w:val="18"/>
        </w:rPr>
      </w:pPr>
      <w:r>
        <w:rPr>
          <w:rFonts w:ascii="宋体" w:hAnsi="宋体" w:eastAsia="宋体" w:cs="宋体"/>
          <w:color w:val="auto"/>
          <w:sz w:val="22"/>
          <w:szCs w:val="22"/>
        </w:rPr>
        <w:t>无论您处在哪一个行业，无论您的企业是大是小，都面临着如何利用资本市场实现持续发展和快速增值的问题，</w:t>
      </w:r>
      <w:r>
        <w:rPr>
          <w:rFonts w:ascii="Arial" w:hAnsi="Arial" w:eastAsia="Arial" w:cs="Arial"/>
          <w:color w:val="auto"/>
          <w:sz w:val="22"/>
          <w:szCs w:val="22"/>
        </w:rPr>
        <w:t>“</w:t>
      </w:r>
      <w:r>
        <w:rPr>
          <w:rFonts w:ascii="宋体" w:hAnsi="宋体" w:eastAsia="宋体" w:cs="宋体"/>
          <w:color w:val="auto"/>
          <w:sz w:val="22"/>
          <w:szCs w:val="22"/>
        </w:rPr>
        <w:t>北京大学金融与投资研修班</w:t>
      </w:r>
      <w:r>
        <w:rPr>
          <w:rFonts w:ascii="Arial" w:hAnsi="Arial" w:eastAsia="Arial" w:cs="Arial"/>
          <w:color w:val="auto"/>
          <w:sz w:val="22"/>
          <w:szCs w:val="22"/>
        </w:rPr>
        <w:t>”</w:t>
      </w:r>
      <w:r>
        <w:rPr>
          <w:rFonts w:ascii="宋体" w:hAnsi="宋体" w:eastAsia="宋体" w:cs="宋体"/>
          <w:color w:val="auto"/>
          <w:sz w:val="22"/>
          <w:szCs w:val="22"/>
        </w:rPr>
        <w:t>将以全新的理念，帮您探究突破瓶颈的有效路径。可以让您明确方向，发现投资价值，掌握投资成功之道，确立领先地位，并有效地达到目标，保持持续的赢利能力。如果您还在菜鸟群中艰难地跋涉，对未来感到迷惘，在这里，我们将与您共同探索新金融时代投资的全新理念，破除传统的迷思，破解最卓越者的成功基因，把握新制胜的法则，共同开创高回报的实战课程。</w:t>
      </w:r>
    </w:p>
    <w:p>
      <w:pPr>
        <w:spacing w:after="0" w:line="217" w:lineRule="exact"/>
        <w:rPr>
          <w:color w:val="auto"/>
          <w:sz w:val="22"/>
          <w:szCs w:val="22"/>
        </w:rPr>
      </w:pPr>
    </w:p>
    <w:p>
      <w:pPr>
        <w:spacing w:after="0" w:line="274" w:lineRule="exact"/>
        <w:rPr>
          <w:color w:val="auto"/>
          <w:sz w:val="18"/>
          <w:szCs w:val="18"/>
        </w:rPr>
      </w:pPr>
      <w:r>
        <w:rPr>
          <w:rFonts w:ascii="宋体" w:hAnsi="宋体" w:eastAsia="宋体" w:cs="宋体"/>
          <w:b/>
          <w:bCs/>
          <w:color w:val="auto"/>
          <w:sz w:val="22"/>
          <w:szCs w:val="22"/>
        </w:rPr>
        <w:t>【研修目的】</w:t>
      </w:r>
    </w:p>
    <w:p>
      <w:pPr>
        <w:spacing w:after="0" w:line="206" w:lineRule="exact"/>
        <w:rPr>
          <w:color w:val="auto"/>
          <w:sz w:val="22"/>
          <w:szCs w:val="22"/>
        </w:rPr>
      </w:pPr>
    </w:p>
    <w:p>
      <w:pPr>
        <w:spacing w:after="0" w:line="317" w:lineRule="exact"/>
        <w:ind w:right="160" w:firstLine="480"/>
        <w:rPr>
          <w:color w:val="auto"/>
          <w:sz w:val="18"/>
          <w:szCs w:val="18"/>
        </w:rPr>
      </w:pPr>
      <w:r>
        <w:rPr>
          <w:rFonts w:ascii="Arial" w:hAnsi="Arial" w:eastAsia="Arial" w:cs="Arial"/>
          <w:color w:val="auto"/>
          <w:sz w:val="22"/>
          <w:szCs w:val="22"/>
        </w:rPr>
        <w:t>“</w:t>
      </w:r>
      <w:r>
        <w:rPr>
          <w:rFonts w:ascii="宋体" w:hAnsi="宋体" w:eastAsia="宋体" w:cs="宋体"/>
          <w:color w:val="auto"/>
          <w:sz w:val="22"/>
          <w:szCs w:val="22"/>
        </w:rPr>
        <w:t>北京大学金融与投资研修班</w:t>
      </w:r>
      <w:r>
        <w:rPr>
          <w:rFonts w:ascii="Arial" w:hAnsi="Arial" w:eastAsia="Arial" w:cs="Arial"/>
          <w:color w:val="auto"/>
          <w:sz w:val="22"/>
          <w:szCs w:val="22"/>
        </w:rPr>
        <w:t>”</w:t>
      </w:r>
      <w:r>
        <w:rPr>
          <w:rFonts w:ascii="宋体" w:hAnsi="宋体" w:eastAsia="宋体" w:cs="宋体"/>
          <w:color w:val="auto"/>
          <w:sz w:val="22"/>
          <w:szCs w:val="22"/>
        </w:rPr>
        <w:t>主要以北京大学校内外的优秀教师和知名学者为主讲师资，采用老师讲授、实战分析、案例研讨相结合的方式教学，旨在：</w:t>
      </w:r>
    </w:p>
    <w:p>
      <w:pPr>
        <w:spacing w:after="0" w:line="200" w:lineRule="exact"/>
        <w:rPr>
          <w:color w:val="auto"/>
          <w:sz w:val="22"/>
          <w:szCs w:val="22"/>
        </w:rPr>
      </w:pPr>
    </w:p>
    <w:p>
      <w:pPr>
        <w:spacing w:after="0" w:line="213" w:lineRule="exact"/>
        <w:rPr>
          <w:color w:val="auto"/>
          <w:sz w:val="22"/>
          <w:szCs w:val="22"/>
        </w:rPr>
      </w:pPr>
    </w:p>
    <w:p>
      <w:pPr>
        <w:spacing w:after="0"/>
        <w:ind w:right="120"/>
        <w:jc w:val="center"/>
        <w:rPr>
          <w:color w:val="auto"/>
          <w:sz w:val="18"/>
          <w:szCs w:val="18"/>
        </w:rPr>
      </w:pPr>
      <w:r>
        <w:rPr>
          <w:rFonts w:ascii="Times New Roman" w:hAnsi="Times New Roman" w:eastAsia="Times New Roman" w:cs="Times New Roman"/>
          <w:color w:val="auto"/>
          <w:sz w:val="16"/>
          <w:szCs w:val="16"/>
        </w:rPr>
        <w:t>1</w:t>
      </w:r>
    </w:p>
    <w:p>
      <w:pPr>
        <w:rPr>
          <w:sz w:val="21"/>
          <w:szCs w:val="21"/>
        </w:rPr>
        <w:sectPr>
          <w:pgSz w:w="11900" w:h="16838"/>
          <w:pgMar w:top="1440" w:right="1006" w:bottom="456" w:left="1140" w:header="0" w:footer="0" w:gutter="0"/>
          <w:cols w:equalWidth="0" w:num="1">
            <w:col w:w="9760"/>
          </w:cols>
        </w:sectPr>
      </w:pPr>
    </w:p>
    <w:p>
      <w:pPr>
        <w:spacing w:after="0" w:line="200" w:lineRule="exact"/>
        <w:rPr>
          <w:color w:val="auto"/>
          <w:sz w:val="18"/>
          <w:szCs w:val="18"/>
        </w:rPr>
      </w:pPr>
      <w:bookmarkStart w:id="1" w:name="page2"/>
      <w:bookmarkEnd w:id="1"/>
      <w:r>
        <w:rPr>
          <w:color w:val="auto"/>
          <w:sz w:val="18"/>
          <w:szCs w:val="18"/>
        </w:rPr>
        <w:drawing>
          <wp:anchor distT="0" distB="0" distL="114300" distR="114300" simplePos="0" relativeHeight="251658240"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pPr>
        <w:spacing w:after="0" w:line="200" w:lineRule="exact"/>
        <w:rPr>
          <w:color w:val="auto"/>
          <w:sz w:val="18"/>
          <w:szCs w:val="18"/>
        </w:rPr>
      </w:pPr>
    </w:p>
    <w:p>
      <w:pPr>
        <w:spacing w:after="0" w:line="200" w:lineRule="exact"/>
        <w:rPr>
          <w:color w:val="auto"/>
          <w:sz w:val="18"/>
          <w:szCs w:val="18"/>
        </w:rPr>
      </w:pPr>
    </w:p>
    <w:p>
      <w:pPr>
        <w:spacing w:after="0" w:line="238" w:lineRule="exact"/>
        <w:rPr>
          <w:color w:val="auto"/>
          <w:sz w:val="18"/>
          <w:szCs w:val="18"/>
        </w:rPr>
      </w:pPr>
    </w:p>
    <w:p>
      <w:pPr>
        <w:numPr>
          <w:ilvl w:val="1"/>
          <w:numId w:val="1"/>
        </w:numPr>
        <w:tabs>
          <w:tab w:val="left" w:pos="840"/>
        </w:tabs>
        <w:spacing w:after="0" w:line="315" w:lineRule="exact"/>
        <w:ind w:firstLine="473"/>
        <w:rPr>
          <w:rFonts w:ascii="Wingdings" w:hAnsi="Wingdings" w:eastAsia="Wingdings" w:cs="Wingdings"/>
          <w:color w:val="auto"/>
          <w:sz w:val="44"/>
          <w:szCs w:val="44"/>
          <w:vertAlign w:val="superscript"/>
        </w:rPr>
      </w:pPr>
      <w:r>
        <w:rPr>
          <w:rFonts w:ascii="宋体" w:hAnsi="宋体" w:eastAsia="宋体" w:cs="宋体"/>
          <w:color w:val="auto"/>
          <w:sz w:val="22"/>
          <w:szCs w:val="22"/>
        </w:rPr>
        <w:t>洞悉全球金融市场脉络，洞悉金融体制改革与经济增长方式转变，在经济转型中充电，提升领导决策力，发现价值与套利机会，推动企业转型升级和跨越发展；</w:t>
      </w:r>
    </w:p>
    <w:p>
      <w:pPr>
        <w:spacing w:after="0" w:line="226" w:lineRule="exact"/>
        <w:rPr>
          <w:rFonts w:ascii="Wingdings" w:hAnsi="Wingdings" w:eastAsia="Wingdings" w:cs="Wingdings"/>
          <w:color w:val="auto"/>
          <w:sz w:val="44"/>
          <w:szCs w:val="44"/>
          <w:vertAlign w:val="superscript"/>
        </w:rPr>
      </w:pPr>
    </w:p>
    <w:p>
      <w:pPr>
        <w:numPr>
          <w:ilvl w:val="0"/>
          <w:numId w:val="1"/>
        </w:numPr>
        <w:tabs>
          <w:tab w:val="left" w:pos="720"/>
        </w:tabs>
        <w:spacing w:after="0" w:line="316" w:lineRule="exact"/>
        <w:ind w:left="720" w:right="160" w:hanging="412"/>
        <w:rPr>
          <w:rFonts w:ascii="Wingdings" w:hAnsi="Wingdings" w:eastAsia="Wingdings" w:cs="Wingdings"/>
          <w:color w:val="auto"/>
          <w:sz w:val="44"/>
          <w:szCs w:val="44"/>
          <w:vertAlign w:val="superscript"/>
        </w:rPr>
      </w:pPr>
      <w:r>
        <w:rPr>
          <w:rFonts w:ascii="宋体" w:hAnsi="宋体" w:eastAsia="宋体" w:cs="宋体"/>
          <w:color w:val="auto"/>
          <w:sz w:val="22"/>
          <w:szCs w:val="22"/>
        </w:rPr>
        <w:t>掌握全球金融领域新动向，整合资源，创新价值，再造利润，制定传承世代的财富管理规划和构架；</w:t>
      </w:r>
    </w:p>
    <w:p>
      <w:pPr>
        <w:spacing w:after="0" w:line="1" w:lineRule="exact"/>
        <w:rPr>
          <w:rFonts w:ascii="Wingdings" w:hAnsi="Wingdings" w:eastAsia="Wingdings" w:cs="Wingdings"/>
          <w:color w:val="auto"/>
          <w:sz w:val="44"/>
          <w:szCs w:val="44"/>
          <w:vertAlign w:val="superscript"/>
        </w:rPr>
      </w:pPr>
    </w:p>
    <w:p>
      <w:pPr>
        <w:numPr>
          <w:ilvl w:val="0"/>
          <w:numId w:val="1"/>
        </w:numPr>
        <w:tabs>
          <w:tab w:val="left" w:pos="720"/>
        </w:tabs>
        <w:spacing w:after="0" w:line="504" w:lineRule="exact"/>
        <w:ind w:left="720" w:hanging="412"/>
        <w:rPr>
          <w:rFonts w:ascii="Wingdings" w:hAnsi="Wingdings" w:eastAsia="Wingdings" w:cs="Wingdings"/>
          <w:color w:val="auto"/>
          <w:sz w:val="44"/>
          <w:szCs w:val="44"/>
          <w:vertAlign w:val="superscript"/>
        </w:rPr>
      </w:pPr>
      <w:r>
        <w:rPr>
          <w:rFonts w:ascii="宋体" w:hAnsi="宋体" w:eastAsia="宋体" w:cs="宋体"/>
          <w:color w:val="auto"/>
          <w:sz w:val="22"/>
          <w:szCs w:val="22"/>
        </w:rPr>
        <w:t>启迪企业决策者的心智，培养领导者的专业思维、人文素养和领袖气质。</w:t>
      </w:r>
    </w:p>
    <w:p>
      <w:pPr>
        <w:spacing w:after="0" w:line="212" w:lineRule="exact"/>
        <w:rPr>
          <w:color w:val="auto"/>
          <w:sz w:val="18"/>
          <w:szCs w:val="18"/>
        </w:rPr>
      </w:pPr>
    </w:p>
    <w:p>
      <w:pPr>
        <w:spacing w:after="0" w:line="274" w:lineRule="exact"/>
        <w:rPr>
          <w:color w:val="auto"/>
          <w:sz w:val="18"/>
          <w:szCs w:val="18"/>
        </w:rPr>
      </w:pPr>
      <w:r>
        <w:rPr>
          <w:rFonts w:ascii="宋体" w:hAnsi="宋体" w:eastAsia="宋体" w:cs="宋体"/>
          <w:b/>
          <w:bCs/>
          <w:color w:val="auto"/>
          <w:sz w:val="22"/>
          <w:szCs w:val="22"/>
        </w:rPr>
        <w:t>【课程价值】</w:t>
      </w:r>
    </w:p>
    <w:bookmarkEnd w:id="6"/>
    <w:p>
      <w:pPr>
        <w:spacing w:after="0" w:line="206" w:lineRule="exact"/>
        <w:rPr>
          <w:color w:val="auto"/>
          <w:sz w:val="20"/>
          <w:szCs w:val="20"/>
        </w:rPr>
      </w:pPr>
    </w:p>
    <w:p>
      <w:pPr>
        <w:spacing w:after="0" w:line="332" w:lineRule="exact"/>
        <w:ind w:right="160"/>
        <w:jc w:val="both"/>
        <w:rPr>
          <w:color w:val="auto"/>
          <w:sz w:val="20"/>
          <w:szCs w:val="20"/>
        </w:rPr>
      </w:pPr>
      <w:r>
        <w:rPr>
          <w:rFonts w:ascii="宋体" w:hAnsi="宋体" w:eastAsia="宋体" w:cs="宋体"/>
          <w:b/>
          <w:bCs/>
          <w:color w:val="auto"/>
          <w:sz w:val="24"/>
          <w:szCs w:val="24"/>
        </w:rPr>
        <w:t>国际视野、前沿课堂：</w:t>
      </w:r>
      <w:r>
        <w:rPr>
          <w:rFonts w:ascii="宋体" w:hAnsi="宋体" w:eastAsia="宋体" w:cs="宋体"/>
          <w:color w:val="auto"/>
          <w:sz w:val="24"/>
          <w:szCs w:val="24"/>
        </w:rPr>
        <w:t>汇聚国内外最优秀的经济学家、金融学专家、企业家，从国际视野，实时分析国际（华尔街、以色列、欧洲等）及国内经济金融政策形势、汲取前沿实用管理理念，掌握企业发展命脉。同时融汇东西方文化，贯通人文、商道，实现未来金融家、投资家的自我超越。</w:t>
      </w:r>
    </w:p>
    <w:p>
      <w:pPr>
        <w:spacing w:after="0" w:line="225" w:lineRule="exact"/>
        <w:rPr>
          <w:color w:val="auto"/>
          <w:sz w:val="20"/>
          <w:szCs w:val="20"/>
        </w:rPr>
      </w:pPr>
    </w:p>
    <w:p>
      <w:pPr>
        <w:spacing w:after="0" w:line="332" w:lineRule="exact"/>
        <w:rPr>
          <w:color w:val="auto"/>
          <w:sz w:val="20"/>
          <w:szCs w:val="20"/>
        </w:rPr>
      </w:pPr>
      <w:r>
        <w:rPr>
          <w:rFonts w:ascii="宋体" w:hAnsi="宋体" w:eastAsia="宋体" w:cs="宋体"/>
          <w:b/>
          <w:bCs/>
          <w:color w:val="auto"/>
          <w:sz w:val="24"/>
          <w:szCs w:val="24"/>
        </w:rPr>
        <w:t>投资实战、案例解析：</w:t>
      </w:r>
      <w:r>
        <w:rPr>
          <w:rFonts w:ascii="宋体" w:hAnsi="宋体" w:eastAsia="宋体" w:cs="宋体"/>
          <w:color w:val="auto"/>
          <w:sz w:val="24"/>
          <w:szCs w:val="24"/>
        </w:rPr>
        <w:t>分享来自全球最新的投资理念、富有成效的技术分析和投资实战经验，拓展商业视野，颠覆的投资理念与思维方式，有效地进行系统更新，重塑投资理念与体系。给学员最实用金融规划、投资模式设计、及投融资管理的有效方法，让学员能够在金融与投资实践中加以有效的运用。</w:t>
      </w:r>
    </w:p>
    <w:p>
      <w:pPr>
        <w:spacing w:after="0" w:line="228"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圈层交流、校友联谊：</w:t>
      </w:r>
      <w:r>
        <w:rPr>
          <w:rFonts w:ascii="宋体" w:hAnsi="宋体" w:eastAsia="宋体" w:cs="宋体"/>
          <w:color w:val="auto"/>
          <w:sz w:val="24"/>
          <w:szCs w:val="24"/>
        </w:rPr>
        <w:t>经济学院多年来吸引了万余名来自世界各地的优秀企业家，定期组织</w:t>
      </w:r>
    </w:p>
    <w:p>
      <w:pPr>
        <w:spacing w:after="0" w:line="75" w:lineRule="exact"/>
        <w:rPr>
          <w:color w:val="auto"/>
          <w:sz w:val="20"/>
          <w:szCs w:val="20"/>
        </w:rPr>
      </w:pPr>
    </w:p>
    <w:p>
      <w:pPr>
        <w:spacing w:after="0" w:line="327" w:lineRule="exact"/>
        <w:ind w:right="160"/>
        <w:jc w:val="both"/>
        <w:rPr>
          <w:color w:val="auto"/>
          <w:sz w:val="20"/>
          <w:szCs w:val="20"/>
        </w:rPr>
      </w:pPr>
      <w:r>
        <w:rPr>
          <w:rFonts w:ascii="宋体" w:hAnsi="宋体" w:eastAsia="宋体" w:cs="宋体"/>
          <w:color w:val="auto"/>
          <w:sz w:val="23"/>
          <w:szCs w:val="23"/>
        </w:rPr>
        <w:t>各类高层次学习交流活动，结业的学员将纳入北京大学和北京大学经济学院校友会，为同学们打造一个高质量，高层次的学习交流圈。增进学员交流、提升个人及企业竞争力。为共同合作发展创造合作机会，实现价值共赢，交往最具价值的朋友、成就最具价值的事业。</w:t>
      </w:r>
    </w:p>
    <w:p>
      <w:pPr>
        <w:spacing w:after="0" w:line="213"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【招生对象】</w:t>
      </w:r>
    </w:p>
    <w:p>
      <w:pPr>
        <w:spacing w:after="0" w:line="206" w:lineRule="exact"/>
        <w:rPr>
          <w:color w:val="auto"/>
          <w:sz w:val="20"/>
          <w:szCs w:val="20"/>
        </w:rPr>
      </w:pPr>
    </w:p>
    <w:p>
      <w:pPr>
        <w:spacing w:after="0" w:line="332" w:lineRule="exact"/>
        <w:ind w:right="160" w:firstLine="480"/>
        <w:jc w:val="both"/>
        <w:rPr>
          <w:color w:val="auto"/>
          <w:sz w:val="20"/>
          <w:szCs w:val="20"/>
        </w:rPr>
      </w:pPr>
      <w:r>
        <w:rPr>
          <w:rFonts w:ascii="宋体" w:hAnsi="宋体" w:eastAsia="宋体" w:cs="宋体"/>
          <w:color w:val="auto"/>
          <w:sz w:val="24"/>
          <w:szCs w:val="24"/>
        </w:rPr>
        <w:t>民营企业投资者、管理者（包括但不限于：企业家、创新创业者、天使投资人、私募基金经理等带有专业背景的投资者、希望实现财务保值和风险规避的高净值人群、对财务投资管理感兴趣的人士、自由投资者）（不招收党政机关、国有企业、事业单位人员参加或者旁听）。</w:t>
      </w:r>
    </w:p>
    <w:p>
      <w:pPr>
        <w:spacing w:after="0" w:line="216"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w:t>
      </w:r>
      <w:r>
        <w:rPr>
          <w:rFonts w:ascii="宋体" w:hAnsi="宋体" w:eastAsia="宋体" w:cs="宋体"/>
          <w:b/>
          <w:bCs/>
          <w:color w:val="auto"/>
          <w:sz w:val="24"/>
          <w:szCs w:val="24"/>
        </w:rPr>
        <w:t>服务管理</w:t>
      </w:r>
      <w:r>
        <w:rPr>
          <w:rFonts w:ascii="宋体" w:hAnsi="宋体" w:eastAsia="宋体" w:cs="宋体"/>
          <w:color w:val="auto"/>
          <w:sz w:val="24"/>
          <w:szCs w:val="24"/>
        </w:rPr>
        <w:t>】</w:t>
      </w:r>
    </w:p>
    <w:p>
      <w:pPr>
        <w:spacing w:after="0" w:line="206" w:lineRule="exact"/>
        <w:rPr>
          <w:color w:val="auto"/>
          <w:sz w:val="20"/>
          <w:szCs w:val="20"/>
        </w:rPr>
      </w:pPr>
    </w:p>
    <w:p>
      <w:pPr>
        <w:spacing w:after="0" w:line="327" w:lineRule="exact"/>
        <w:ind w:right="160" w:firstLine="480"/>
        <w:jc w:val="both"/>
        <w:rPr>
          <w:color w:val="auto"/>
          <w:sz w:val="20"/>
          <w:szCs w:val="20"/>
        </w:rPr>
      </w:pPr>
      <w:r>
        <w:rPr>
          <w:rFonts w:ascii="宋体" w:hAnsi="宋体" w:eastAsia="宋体" w:cs="宋体"/>
          <w:color w:val="auto"/>
          <w:sz w:val="24"/>
          <w:szCs w:val="24"/>
        </w:rPr>
        <w:t>由经验丰富的班主任专职管理，确保良好的教学质量及教学环境。班主任组织选举班委会，组织学员听取专家讲座、参与专业研讨、参加丰富多彩的学生活动，使您的学习经历更加充实。</w:t>
      </w:r>
    </w:p>
    <w:p>
      <w:pPr>
        <w:spacing w:after="0" w:line="212"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【课程安排】</w:t>
      </w:r>
    </w:p>
    <w:p>
      <w:pPr>
        <w:spacing w:after="0" w:line="206"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拟安排以下主要课程。具体授课以实际安排为准。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375285</wp:posOffset>
            </wp:positionH>
            <wp:positionV relativeFrom="paragraph">
              <wp:posOffset>142875</wp:posOffset>
            </wp:positionV>
            <wp:extent cx="5362575" cy="388620"/>
            <wp:effectExtent l="0" t="0" r="9525"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srcRect/>
                    <a:stretch>
                      <a:fillRect/>
                    </a:stretch>
                  </pic:blipFill>
                  <pic:spPr>
                    <a:xfrm>
                      <a:off x="0" y="0"/>
                      <a:ext cx="5362575" cy="388620"/>
                    </a:xfrm>
                    <a:prstGeom prst="rect">
                      <a:avLst/>
                    </a:prstGeom>
                    <a:noFill/>
                  </pic:spPr>
                </pic:pic>
              </a:graphicData>
            </a:graphic>
          </wp:anchor>
        </w:drawing>
      </w:r>
    </w:p>
    <w:p>
      <w:pPr>
        <w:spacing w:after="0" w:line="376" w:lineRule="exact"/>
        <w:rPr>
          <w:color w:val="auto"/>
          <w:sz w:val="20"/>
          <w:szCs w:val="20"/>
        </w:rPr>
      </w:pPr>
    </w:p>
    <w:p>
      <w:pPr>
        <w:tabs>
          <w:tab w:val="left" w:pos="4680"/>
        </w:tabs>
        <w:spacing w:after="0" w:line="240" w:lineRule="exact"/>
        <w:ind w:left="660"/>
        <w:rPr>
          <w:color w:val="auto"/>
          <w:sz w:val="20"/>
          <w:szCs w:val="20"/>
        </w:rPr>
      </w:pPr>
      <w:r>
        <w:rPr>
          <w:rFonts w:ascii="宋体" w:hAnsi="宋体" w:eastAsia="宋体" w:cs="宋体"/>
          <w:b/>
          <w:bCs/>
          <w:color w:val="auto"/>
          <w:sz w:val="21"/>
          <w:szCs w:val="21"/>
        </w:rPr>
        <w:t>模块一：金融与投资基础</w:t>
      </w:r>
      <w:r>
        <w:rPr>
          <w:color w:val="auto"/>
          <w:sz w:val="20"/>
          <w:szCs w:val="20"/>
        </w:rPr>
        <w:tab/>
      </w:r>
      <w:r>
        <w:rPr>
          <w:rFonts w:ascii="宋体" w:hAnsi="宋体" w:eastAsia="宋体" w:cs="宋体"/>
          <w:b/>
          <w:bCs/>
          <w:color w:val="auto"/>
          <w:sz w:val="21"/>
          <w:szCs w:val="21"/>
        </w:rPr>
        <w:t>模块二：多层次资本市场分析</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right="120"/>
        <w:jc w:val="center"/>
        <w:rPr>
          <w:color w:val="auto"/>
          <w:sz w:val="20"/>
          <w:szCs w:val="20"/>
        </w:rPr>
      </w:pPr>
      <w:r>
        <w:rPr>
          <w:rFonts w:ascii="Times New Roman" w:hAnsi="Times New Roman" w:eastAsia="Times New Roman" w:cs="Times New Roman"/>
          <w:color w:val="auto"/>
          <w:sz w:val="18"/>
          <w:szCs w:val="18"/>
        </w:rPr>
        <w:t>2</w:t>
      </w:r>
    </w:p>
    <w:p>
      <w:pPr>
        <w:sectPr>
          <w:pgSz w:w="11900" w:h="16838"/>
          <w:pgMar w:top="1440" w:right="1006" w:bottom="456" w:left="1140" w:header="0" w:footer="0" w:gutter="0"/>
          <w:cols w:equalWidth="0" w:num="1">
            <w:col w:w="9760"/>
          </w:cols>
        </w:sectPr>
      </w:pPr>
    </w:p>
    <w:p>
      <w:pPr>
        <w:spacing w:after="0" w:line="200" w:lineRule="exact"/>
        <w:rPr>
          <w:color w:val="auto"/>
          <w:sz w:val="20"/>
          <w:szCs w:val="20"/>
        </w:rPr>
      </w:pPr>
      <w:bookmarkStart w:id="2" w:name="page3"/>
      <w:bookmarkEnd w:id="2"/>
      <w:r>
        <w:rPr>
          <w:color w:val="auto"/>
          <w:sz w:val="20"/>
          <w:szCs w:val="20"/>
        </w:rPr>
        <w:drawing>
          <wp:anchor distT="0" distB="0" distL="114300" distR="114300" simplePos="0" relativeHeight="251658240"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tbl>
      <w:tblPr>
        <w:tblStyle w:val="2"/>
        <w:tblW w:w="8440" w:type="dxa"/>
        <w:tblInd w:w="310" w:type="dxa"/>
        <w:tblLayout w:type="fixed"/>
        <w:tblCellMar>
          <w:top w:w="0" w:type="dxa"/>
          <w:left w:w="0" w:type="dxa"/>
          <w:bottom w:w="0" w:type="dxa"/>
          <w:right w:w="0" w:type="dxa"/>
        </w:tblCellMar>
      </w:tblPr>
      <w:tblGrid>
        <w:gridCol w:w="4040"/>
        <w:gridCol w:w="4400"/>
      </w:tblGrid>
      <w:tr>
        <w:tblPrEx>
          <w:tblLayout w:type="fixed"/>
          <w:tblCellMar>
            <w:top w:w="0" w:type="dxa"/>
            <w:left w:w="0" w:type="dxa"/>
            <w:bottom w:w="0" w:type="dxa"/>
            <w:right w:w="0" w:type="dxa"/>
          </w:tblCellMar>
        </w:tblPrEx>
        <w:trPr>
          <w:trHeight w:val="340" w:hRule="atLeast"/>
        </w:trPr>
        <w:tc>
          <w:tcPr>
            <w:tcW w:w="4040" w:type="dxa"/>
            <w:tcBorders>
              <w:top w:val="single" w:color="auto" w:sz="8" w:space="0"/>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金融形势与国际货币体系分析</w:t>
            </w:r>
          </w:p>
        </w:tc>
        <w:tc>
          <w:tcPr>
            <w:tcW w:w="4400" w:type="dxa"/>
            <w:tcBorders>
              <w:top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主板市场的变革与创新</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习式改革解读</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创业板市场的功能与定位</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货币金融学基础</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新三板市场政策分析与解读</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国际金融概论</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中国资本市场现状和挑战</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金融投资导论</w:t>
            </w:r>
          </w:p>
        </w:tc>
        <w:tc>
          <w:tcPr>
            <w:tcW w:w="44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金融衍生产品的发展趋势</w:t>
            </w:r>
          </w:p>
        </w:tc>
        <w:tc>
          <w:tcPr>
            <w:tcW w:w="44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54" w:hRule="atLeast"/>
        </w:trPr>
        <w:tc>
          <w:tcPr>
            <w:tcW w:w="404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4400" w:type="dxa"/>
            <w:tcBorders>
              <w:bottom w:val="single" w:color="auto" w:sz="8" w:space="0"/>
              <w:right w:val="single" w:color="auto" w:sz="8" w:space="0"/>
            </w:tcBorders>
            <w:vAlign w:val="bottom"/>
          </w:tcPr>
          <w:p>
            <w:pPr>
              <w:spacing w:after="0"/>
              <w:rPr>
                <w:color w:val="auto"/>
                <w:sz w:val="13"/>
                <w:szCs w:val="13"/>
              </w:rPr>
            </w:pPr>
          </w:p>
        </w:tc>
      </w:tr>
      <w:tr>
        <w:tblPrEx>
          <w:tblLayout w:type="fixed"/>
          <w:tblCellMar>
            <w:top w:w="0" w:type="dxa"/>
            <w:left w:w="0" w:type="dxa"/>
            <w:bottom w:w="0" w:type="dxa"/>
            <w:right w:w="0" w:type="dxa"/>
          </w:tblCellMar>
        </w:tblPrEx>
        <w:trPr>
          <w:trHeight w:val="39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b/>
                <w:bCs/>
                <w:color w:val="auto"/>
                <w:sz w:val="21"/>
                <w:szCs w:val="21"/>
              </w:rPr>
              <w:t>模块三：投资决策系统及风险管理</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b/>
                <w:bCs/>
                <w:color w:val="auto"/>
                <w:sz w:val="21"/>
                <w:szCs w:val="21"/>
              </w:rPr>
              <w:t>模块四：私募股权投资基金的募集与管理</w:t>
            </w:r>
          </w:p>
        </w:tc>
      </w:tr>
      <w:tr>
        <w:tblPrEx>
          <w:tblLayout w:type="fixed"/>
          <w:tblCellMar>
            <w:top w:w="0" w:type="dxa"/>
            <w:left w:w="0" w:type="dxa"/>
            <w:bottom w:w="0" w:type="dxa"/>
            <w:right w:w="0" w:type="dxa"/>
          </w:tblCellMar>
        </w:tblPrEx>
        <w:trPr>
          <w:trHeight w:val="183" w:hRule="atLeast"/>
        </w:trPr>
        <w:tc>
          <w:tcPr>
            <w:tcW w:w="404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4400" w:type="dxa"/>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321"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企业吸引投资的亮点打造</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私募股权投资基金的募集、影响因素及应注意</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投资人和企业家关系处理</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的问题</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投资分析中的最新思想与发展</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私募股权基金的筹建、设立与管理</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投资选择方法</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私募股权基金的投资模式</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投资项目现金流估算</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私募股权基金治理模式</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投资战略与投资回报分析</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被投项目企业的治理架构</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投资决策流程管理</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被投项目企业商业模式优化</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投资分析与风险管理</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被投项目企业融资后的管理</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VC/PE 金融经济价值</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被投企业的成长辅导与再融资</w:t>
            </w:r>
          </w:p>
        </w:tc>
      </w:tr>
      <w:tr>
        <w:tblPrEx>
          <w:tblLayout w:type="fixed"/>
          <w:tblCellMar>
            <w:top w:w="0" w:type="dxa"/>
            <w:left w:w="0" w:type="dxa"/>
            <w:bottom w:w="0" w:type="dxa"/>
            <w:right w:w="0" w:type="dxa"/>
          </w:tblCellMar>
        </w:tblPrEx>
        <w:trPr>
          <w:trHeight w:val="111" w:hRule="atLeast"/>
        </w:trPr>
        <w:tc>
          <w:tcPr>
            <w:tcW w:w="404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4400" w:type="dxa"/>
            <w:tcBorders>
              <w:bottom w:val="single" w:color="auto" w:sz="8" w:space="0"/>
              <w:right w:val="single" w:color="auto" w:sz="8" w:space="0"/>
            </w:tcBorders>
            <w:vAlign w:val="bottom"/>
          </w:tcPr>
          <w:p>
            <w:pPr>
              <w:spacing w:after="0"/>
              <w:rPr>
                <w:color w:val="auto"/>
                <w:sz w:val="9"/>
                <w:szCs w:val="9"/>
              </w:rPr>
            </w:pPr>
          </w:p>
        </w:tc>
      </w:tr>
      <w:tr>
        <w:tblPrEx>
          <w:tblLayout w:type="fixed"/>
          <w:tblCellMar>
            <w:top w:w="0" w:type="dxa"/>
            <w:left w:w="0" w:type="dxa"/>
            <w:bottom w:w="0" w:type="dxa"/>
            <w:right w:w="0" w:type="dxa"/>
          </w:tblCellMar>
        </w:tblPrEx>
        <w:trPr>
          <w:trHeight w:val="39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b/>
                <w:bCs/>
                <w:color w:val="auto"/>
                <w:sz w:val="21"/>
                <w:szCs w:val="21"/>
              </w:rPr>
              <w:t>模块五：私募基金的投资与退出渠道</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b/>
                <w:bCs/>
                <w:color w:val="auto"/>
                <w:sz w:val="21"/>
                <w:szCs w:val="21"/>
              </w:rPr>
              <w:t>模块六：公司上市实务</w:t>
            </w:r>
          </w:p>
        </w:tc>
      </w:tr>
      <w:tr>
        <w:tblPrEx>
          <w:tblLayout w:type="fixed"/>
          <w:tblCellMar>
            <w:top w:w="0" w:type="dxa"/>
            <w:left w:w="0" w:type="dxa"/>
            <w:bottom w:w="0" w:type="dxa"/>
            <w:right w:w="0" w:type="dxa"/>
          </w:tblCellMar>
        </w:tblPrEx>
        <w:trPr>
          <w:trHeight w:val="183" w:hRule="atLeast"/>
        </w:trPr>
        <w:tc>
          <w:tcPr>
            <w:tcW w:w="404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4400" w:type="dxa"/>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320"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退出的价格和价值最大化</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上市流程的关键阶段：预备期、改制器、辅导</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多种退出渠道对比分析</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期、申请期、挂牌期各关键阶段的相应策略</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借壳上市与并购重组</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上市改制中的财务问题</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公司回购及其法律规定</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上市改制中的法律问题</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rPr>
                <w:color w:val="auto"/>
                <w:sz w:val="24"/>
                <w:szCs w:val="24"/>
              </w:rPr>
            </w:pP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确定募资前的股权定价与权益分配</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rPr>
                <w:color w:val="auto"/>
                <w:sz w:val="24"/>
                <w:szCs w:val="24"/>
              </w:rPr>
            </w:pP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如何控制资本筹措的成本</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rPr>
                <w:color w:val="auto"/>
                <w:sz w:val="24"/>
                <w:szCs w:val="24"/>
              </w:rPr>
            </w:pP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改制方案设计主要内容</w:t>
            </w:r>
          </w:p>
        </w:tc>
      </w:tr>
      <w:tr>
        <w:tblPrEx>
          <w:tblLayout w:type="fixed"/>
          <w:tblCellMar>
            <w:top w:w="0" w:type="dxa"/>
            <w:left w:w="0" w:type="dxa"/>
            <w:bottom w:w="0" w:type="dxa"/>
            <w:right w:w="0" w:type="dxa"/>
          </w:tblCellMar>
        </w:tblPrEx>
        <w:trPr>
          <w:trHeight w:val="111" w:hRule="atLeast"/>
        </w:trPr>
        <w:tc>
          <w:tcPr>
            <w:tcW w:w="404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4400" w:type="dxa"/>
            <w:tcBorders>
              <w:bottom w:val="single" w:color="auto" w:sz="8" w:space="0"/>
              <w:right w:val="single" w:color="auto" w:sz="8" w:space="0"/>
            </w:tcBorders>
            <w:vAlign w:val="bottom"/>
          </w:tcPr>
          <w:p>
            <w:pPr>
              <w:spacing w:after="0"/>
              <w:rPr>
                <w:color w:val="auto"/>
                <w:sz w:val="9"/>
                <w:szCs w:val="9"/>
              </w:rPr>
            </w:pPr>
          </w:p>
        </w:tc>
      </w:tr>
      <w:tr>
        <w:tblPrEx>
          <w:tblLayout w:type="fixed"/>
          <w:tblCellMar>
            <w:top w:w="0" w:type="dxa"/>
            <w:left w:w="0" w:type="dxa"/>
            <w:bottom w:w="0" w:type="dxa"/>
            <w:right w:w="0" w:type="dxa"/>
          </w:tblCellMar>
        </w:tblPrEx>
        <w:trPr>
          <w:trHeight w:val="39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b/>
                <w:bCs/>
                <w:color w:val="auto"/>
                <w:sz w:val="21"/>
                <w:szCs w:val="21"/>
              </w:rPr>
              <w:t>模块七：估值、并购、重组实务</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b/>
                <w:bCs/>
                <w:color w:val="auto"/>
                <w:sz w:val="21"/>
                <w:szCs w:val="21"/>
              </w:rPr>
              <w:t>模块八：私募股权基金投资案例解析</w:t>
            </w:r>
          </w:p>
        </w:tc>
      </w:tr>
      <w:tr>
        <w:tblPrEx>
          <w:tblLayout w:type="fixed"/>
          <w:tblCellMar>
            <w:top w:w="0" w:type="dxa"/>
            <w:left w:w="0" w:type="dxa"/>
            <w:bottom w:w="0" w:type="dxa"/>
            <w:right w:w="0" w:type="dxa"/>
          </w:tblCellMar>
        </w:tblPrEx>
        <w:trPr>
          <w:trHeight w:val="183" w:hRule="atLeast"/>
        </w:trPr>
        <w:tc>
          <w:tcPr>
            <w:tcW w:w="404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4400" w:type="dxa"/>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320"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现代公司估值详述</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能源企业与投资案例</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相对估值方法</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影视传媒行业投资案例</w:t>
            </w:r>
          </w:p>
        </w:tc>
      </w:tr>
      <w:tr>
        <w:tblPrEx>
          <w:tblLayout w:type="fixed"/>
          <w:tblCellMar>
            <w:top w:w="0" w:type="dxa"/>
            <w:left w:w="0" w:type="dxa"/>
            <w:bottom w:w="0" w:type="dxa"/>
            <w:right w:w="0" w:type="dxa"/>
          </w:tblCellMar>
        </w:tblPrEx>
        <w:trPr>
          <w:trHeight w:val="313"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公司财务预测与估值模型</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现代农业企业投资案例</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不同行业估值方法选择</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健康产业投资案例</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估值方法的拓展应用</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高科技企业投资案例</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不同类型股东并购重组的动机和行为</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装备制造业投资案例</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公司并购重组交易结构与支付方式</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现代服务业投资案例</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公司并购融资手段</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互联网、大数据投资案例</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公司并购重组估值方法和定价</w:t>
            </w:r>
          </w:p>
        </w:tc>
        <w:tc>
          <w:tcPr>
            <w:tcW w:w="44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公司并购目标的选择</w:t>
            </w:r>
          </w:p>
        </w:tc>
        <w:tc>
          <w:tcPr>
            <w:tcW w:w="44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11" w:hRule="atLeast"/>
        </w:trPr>
        <w:tc>
          <w:tcPr>
            <w:tcW w:w="404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4400" w:type="dxa"/>
            <w:tcBorders>
              <w:bottom w:val="single" w:color="auto" w:sz="8" w:space="0"/>
              <w:right w:val="single" w:color="auto" w:sz="8" w:space="0"/>
            </w:tcBorders>
            <w:vAlign w:val="bottom"/>
          </w:tcPr>
          <w:p>
            <w:pPr>
              <w:spacing w:after="0"/>
              <w:rPr>
                <w:color w:val="auto"/>
                <w:sz w:val="9"/>
                <w:szCs w:val="9"/>
              </w:rPr>
            </w:pPr>
          </w:p>
        </w:tc>
      </w:tr>
      <w:tr>
        <w:tblPrEx>
          <w:tblLayout w:type="fixed"/>
          <w:tblCellMar>
            <w:top w:w="0" w:type="dxa"/>
            <w:left w:w="0" w:type="dxa"/>
            <w:bottom w:w="0" w:type="dxa"/>
            <w:right w:w="0" w:type="dxa"/>
          </w:tblCellMar>
        </w:tblPrEx>
        <w:trPr>
          <w:trHeight w:val="39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b/>
                <w:bCs/>
                <w:color w:val="auto"/>
                <w:sz w:val="21"/>
                <w:szCs w:val="21"/>
              </w:rPr>
              <w:t>模块九：大宗商品及期货市场基础理论</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b/>
                <w:bCs/>
                <w:color w:val="auto"/>
                <w:sz w:val="21"/>
                <w:szCs w:val="21"/>
              </w:rPr>
              <w:t>模块十：投资行为与心态的修炼</w:t>
            </w:r>
          </w:p>
        </w:tc>
      </w:tr>
      <w:tr>
        <w:tblPrEx>
          <w:tblLayout w:type="fixed"/>
          <w:tblCellMar>
            <w:top w:w="0" w:type="dxa"/>
            <w:left w:w="0" w:type="dxa"/>
            <w:bottom w:w="0" w:type="dxa"/>
            <w:right w:w="0" w:type="dxa"/>
          </w:tblCellMar>
        </w:tblPrEx>
        <w:trPr>
          <w:trHeight w:val="183" w:hRule="atLeast"/>
        </w:trPr>
        <w:tc>
          <w:tcPr>
            <w:tcW w:w="404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4400" w:type="dxa"/>
            <w:tcBorders>
              <w:bottom w:val="single" w:color="auto" w:sz="8" w:space="0"/>
              <w:right w:val="single" w:color="auto" w:sz="8" w:space="0"/>
            </w:tcBorders>
            <w:vAlign w:val="bottom"/>
          </w:tcPr>
          <w:p>
            <w:pPr>
              <w:spacing w:after="0"/>
              <w:rPr>
                <w:color w:val="auto"/>
                <w:sz w:val="15"/>
                <w:szCs w:val="15"/>
              </w:rPr>
            </w:pPr>
          </w:p>
        </w:tc>
      </w:tr>
      <w:tr>
        <w:tblPrEx>
          <w:tblLayout w:type="fixed"/>
          <w:tblCellMar>
            <w:top w:w="0" w:type="dxa"/>
            <w:left w:w="0" w:type="dxa"/>
            <w:bottom w:w="0" w:type="dxa"/>
            <w:right w:w="0" w:type="dxa"/>
          </w:tblCellMar>
        </w:tblPrEx>
        <w:trPr>
          <w:trHeight w:val="563" w:hRule="atLeast"/>
        </w:trPr>
        <w:tc>
          <w:tcPr>
            <w:tcW w:w="4040" w:type="dxa"/>
            <w:vAlign w:val="bottom"/>
          </w:tcPr>
          <w:p>
            <w:pPr>
              <w:spacing w:after="0"/>
              <w:rPr>
                <w:color w:val="auto"/>
                <w:sz w:val="24"/>
                <w:szCs w:val="24"/>
              </w:rPr>
            </w:pPr>
          </w:p>
        </w:tc>
        <w:tc>
          <w:tcPr>
            <w:tcW w:w="44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3</w:t>
            </w:r>
          </w:p>
        </w:tc>
      </w:tr>
    </w:tbl>
    <w:p>
      <w:pPr>
        <w:sectPr>
          <w:pgSz w:w="11900" w:h="16838"/>
          <w:pgMar w:top="1440" w:right="1440" w:bottom="456" w:left="1440" w:header="0" w:footer="0" w:gutter="0"/>
          <w:cols w:equalWidth="0" w:num="1">
            <w:col w:w="9026"/>
          </w:cols>
        </w:sectPr>
      </w:pPr>
    </w:p>
    <w:p>
      <w:pPr>
        <w:spacing w:after="0" w:line="200" w:lineRule="exact"/>
        <w:rPr>
          <w:color w:val="auto"/>
          <w:sz w:val="20"/>
          <w:szCs w:val="20"/>
        </w:rPr>
      </w:pPr>
      <w:bookmarkStart w:id="3" w:name="page4"/>
      <w:bookmarkEnd w:id="3"/>
      <w:r>
        <w:rPr>
          <w:color w:val="auto"/>
          <w:sz w:val="20"/>
          <w:szCs w:val="20"/>
        </w:rPr>
        <w:drawing>
          <wp:anchor distT="0" distB="0" distL="114300" distR="114300" simplePos="0" relativeHeight="251658240"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tbl>
      <w:tblPr>
        <w:tblStyle w:val="2"/>
        <w:tblW w:w="8440" w:type="dxa"/>
        <w:tblInd w:w="610" w:type="dxa"/>
        <w:tblLayout w:type="fixed"/>
        <w:tblCellMar>
          <w:top w:w="0" w:type="dxa"/>
          <w:left w:w="0" w:type="dxa"/>
          <w:bottom w:w="0" w:type="dxa"/>
          <w:right w:w="0" w:type="dxa"/>
        </w:tblCellMar>
      </w:tblPr>
      <w:tblGrid>
        <w:gridCol w:w="4040"/>
        <w:gridCol w:w="4400"/>
      </w:tblGrid>
      <w:tr>
        <w:tblPrEx>
          <w:tblLayout w:type="fixed"/>
          <w:tblCellMar>
            <w:top w:w="0" w:type="dxa"/>
            <w:left w:w="0" w:type="dxa"/>
            <w:bottom w:w="0" w:type="dxa"/>
            <w:right w:w="0" w:type="dxa"/>
          </w:tblCellMar>
        </w:tblPrEx>
        <w:trPr>
          <w:trHeight w:val="340" w:hRule="atLeast"/>
        </w:trPr>
        <w:tc>
          <w:tcPr>
            <w:tcW w:w="4040" w:type="dxa"/>
            <w:tcBorders>
              <w:top w:val="single" w:color="auto" w:sz="8" w:space="0"/>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w w:val="98"/>
                <w:sz w:val="21"/>
                <w:szCs w:val="21"/>
              </w:rPr>
              <w:t>各类投资理财产品、基金、私募产品特点和</w:t>
            </w:r>
          </w:p>
        </w:tc>
        <w:tc>
          <w:tcPr>
            <w:tcW w:w="4400" w:type="dxa"/>
            <w:tcBorders>
              <w:top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压力管理与良好心态修炼</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发行渠道</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金融心理学</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期货市场的产生、发展、演变、转型</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国学智慧与投资博弈</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价格发现、风险管理、资产配置</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中外优秀投资者行为比较</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大宗商品与经济预测</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人性的弱点与交易心理学</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股票期权市场特点及交易策略与技巧</w:t>
            </w:r>
          </w:p>
        </w:tc>
        <w:tc>
          <w:tcPr>
            <w:tcW w:w="4400" w:type="dxa"/>
            <w:tcBorders>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行为金融对交易结果的影响</w:t>
            </w: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w w:val="98"/>
                <w:sz w:val="21"/>
                <w:szCs w:val="21"/>
              </w:rPr>
              <w:t>期货在资本市场、金融体系中的地位和作用</w:t>
            </w:r>
          </w:p>
        </w:tc>
        <w:tc>
          <w:tcPr>
            <w:tcW w:w="44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w w:val="98"/>
                <w:sz w:val="21"/>
                <w:szCs w:val="21"/>
              </w:rPr>
              <w:t>金融衍生品与金融危机的形成、征兆与防范</w:t>
            </w:r>
          </w:p>
        </w:tc>
        <w:tc>
          <w:tcPr>
            <w:tcW w:w="44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12" w:hRule="atLeast"/>
        </w:trPr>
        <w:tc>
          <w:tcPr>
            <w:tcW w:w="4040" w:type="dxa"/>
            <w:tcBorders>
              <w:left w:val="single" w:color="auto" w:sz="8" w:space="0"/>
              <w:right w:val="single" w:color="auto" w:sz="8" w:space="0"/>
            </w:tcBorders>
            <w:vAlign w:val="bottom"/>
          </w:tcPr>
          <w:p>
            <w:pPr>
              <w:spacing w:after="0" w:line="240" w:lineRule="exact"/>
              <w:ind w:left="60"/>
              <w:rPr>
                <w:color w:val="auto"/>
                <w:sz w:val="20"/>
                <w:szCs w:val="20"/>
              </w:rPr>
            </w:pPr>
            <w:r>
              <w:rPr>
                <w:rFonts w:ascii="宋体" w:hAnsi="宋体" w:eastAsia="宋体" w:cs="宋体"/>
                <w:color w:val="auto"/>
                <w:sz w:val="21"/>
                <w:szCs w:val="21"/>
              </w:rPr>
              <w:t>国际重大风险事件与金融监管体制演变</w:t>
            </w:r>
          </w:p>
        </w:tc>
        <w:tc>
          <w:tcPr>
            <w:tcW w:w="44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14" w:hRule="atLeast"/>
        </w:trPr>
        <w:tc>
          <w:tcPr>
            <w:tcW w:w="404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4400" w:type="dxa"/>
            <w:tcBorders>
              <w:bottom w:val="single" w:color="auto" w:sz="8" w:space="0"/>
              <w:right w:val="single" w:color="auto" w:sz="8" w:space="0"/>
            </w:tcBorders>
            <w:vAlign w:val="bottom"/>
          </w:tcPr>
          <w:p>
            <w:pPr>
              <w:spacing w:after="0"/>
              <w:rPr>
                <w:color w:val="auto"/>
                <w:sz w:val="9"/>
                <w:szCs w:val="9"/>
              </w:rPr>
            </w:pPr>
          </w:p>
        </w:tc>
      </w:tr>
    </w:tbl>
    <w:p>
      <w:pPr>
        <w:spacing w:after="0" w:line="298"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【师资介绍】</w:t>
      </w:r>
      <w:r>
        <w:rPr>
          <w:rFonts w:ascii="宋体" w:hAnsi="宋体" w:eastAsia="宋体" w:cs="宋体"/>
          <w:color w:val="auto"/>
          <w:sz w:val="24"/>
          <w:szCs w:val="24"/>
        </w:rPr>
        <w:t>拟安排以下主要老师，具体授课以实际安排为准</w:t>
      </w:r>
      <w:r>
        <w:rPr>
          <w:rFonts w:ascii="宋体" w:hAnsi="宋体" w:eastAsia="宋体" w:cs="宋体"/>
          <w:b/>
          <w:bCs/>
          <w:color w:val="auto"/>
          <w:sz w:val="24"/>
          <w:szCs w:val="24"/>
        </w:rPr>
        <w:t>：</w:t>
      </w:r>
    </w:p>
    <w:p>
      <w:pPr>
        <w:spacing w:after="0" w:line="200" w:lineRule="exact"/>
        <w:rPr>
          <w:color w:val="auto"/>
          <w:sz w:val="20"/>
          <w:szCs w:val="20"/>
        </w:rPr>
      </w:pPr>
    </w:p>
    <w:p>
      <w:pPr>
        <w:spacing w:after="0" w:line="306"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何小锋：北京大学经济学院教授</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李庆云：北京大学经济学院教授</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董志勇：北京大学经济学院院长、教授</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曹和平：北京大学经济学院教授</w:t>
      </w:r>
    </w:p>
    <w:p>
      <w:pPr>
        <w:spacing w:after="0" w:line="351"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王一鸣：北京大学经济学院金融学系教授</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李连发：北京大学经济学院金融学系教授</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吕随启：北京大学经济学院金融学系副教授</w:t>
      </w:r>
    </w:p>
    <w:p>
      <w:pPr>
        <w:spacing w:after="0" w:line="350" w:lineRule="exact"/>
        <w:rPr>
          <w:color w:val="auto"/>
          <w:sz w:val="20"/>
          <w:szCs w:val="20"/>
        </w:rPr>
      </w:pPr>
    </w:p>
    <w:p>
      <w:pPr>
        <w:tabs>
          <w:tab w:val="left" w:pos="460"/>
        </w:tabs>
        <w:spacing w:after="0" w:line="274" w:lineRule="exact"/>
        <w:rPr>
          <w:color w:val="auto"/>
          <w:sz w:val="20"/>
          <w:szCs w:val="20"/>
        </w:rPr>
      </w:pPr>
      <w:r>
        <w:rPr>
          <w:rFonts w:ascii="宋体" w:hAnsi="宋体" w:eastAsia="宋体" w:cs="宋体"/>
          <w:color w:val="auto"/>
          <w:sz w:val="24"/>
          <w:szCs w:val="24"/>
        </w:rPr>
        <w:t>张</w:t>
      </w:r>
      <w:r>
        <w:rPr>
          <w:rFonts w:ascii="宋体" w:hAnsi="宋体" w:eastAsia="宋体" w:cs="宋体"/>
          <w:color w:val="auto"/>
          <w:sz w:val="24"/>
          <w:szCs w:val="24"/>
        </w:rPr>
        <w:tab/>
      </w:r>
      <w:r>
        <w:rPr>
          <w:rFonts w:ascii="宋体" w:hAnsi="宋体" w:eastAsia="宋体" w:cs="宋体"/>
          <w:color w:val="auto"/>
          <w:sz w:val="24"/>
          <w:szCs w:val="24"/>
        </w:rPr>
        <w:t>辉：北京大学经济学院副院长、教授</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张亚光：北京大学经济学院副院长、副教授</w:t>
      </w:r>
    </w:p>
    <w:p>
      <w:pPr>
        <w:spacing w:after="0" w:line="351" w:lineRule="exact"/>
        <w:rPr>
          <w:color w:val="auto"/>
          <w:sz w:val="20"/>
          <w:szCs w:val="20"/>
        </w:rPr>
      </w:pPr>
    </w:p>
    <w:p>
      <w:pPr>
        <w:tabs>
          <w:tab w:val="left" w:pos="460"/>
        </w:tabs>
        <w:spacing w:after="0" w:line="274" w:lineRule="exact"/>
        <w:rPr>
          <w:color w:val="auto"/>
          <w:sz w:val="20"/>
          <w:szCs w:val="20"/>
        </w:rPr>
      </w:pPr>
      <w:r>
        <w:rPr>
          <w:rFonts w:ascii="宋体" w:hAnsi="宋体" w:eastAsia="宋体" w:cs="宋体"/>
          <w:color w:val="auto"/>
          <w:sz w:val="24"/>
          <w:szCs w:val="24"/>
        </w:rPr>
        <w:t>冯</w:t>
      </w:r>
      <w:r>
        <w:rPr>
          <w:rFonts w:ascii="宋体" w:hAnsi="宋体" w:eastAsia="宋体" w:cs="宋体"/>
          <w:color w:val="auto"/>
          <w:sz w:val="24"/>
          <w:szCs w:val="24"/>
        </w:rPr>
        <w:tab/>
      </w:r>
      <w:r>
        <w:rPr>
          <w:rFonts w:ascii="宋体" w:hAnsi="宋体" w:eastAsia="宋体" w:cs="宋体"/>
          <w:color w:val="auto"/>
          <w:sz w:val="24"/>
          <w:szCs w:val="24"/>
        </w:rPr>
        <w:t>科：北京大学经济学院金融学系副教授</w:t>
      </w:r>
    </w:p>
    <w:p>
      <w:pPr>
        <w:spacing w:after="0" w:line="350" w:lineRule="exact"/>
        <w:rPr>
          <w:color w:val="auto"/>
          <w:sz w:val="20"/>
          <w:szCs w:val="20"/>
        </w:rPr>
      </w:pPr>
    </w:p>
    <w:p>
      <w:pPr>
        <w:tabs>
          <w:tab w:val="left" w:pos="460"/>
        </w:tabs>
        <w:spacing w:after="0" w:line="274" w:lineRule="exact"/>
        <w:rPr>
          <w:color w:val="auto"/>
          <w:sz w:val="20"/>
          <w:szCs w:val="20"/>
        </w:rPr>
      </w:pPr>
      <w:r>
        <w:rPr>
          <w:rFonts w:ascii="宋体" w:hAnsi="宋体" w:eastAsia="宋体" w:cs="宋体"/>
          <w:color w:val="auto"/>
          <w:sz w:val="24"/>
          <w:szCs w:val="24"/>
        </w:rPr>
        <w:t>黄</w:t>
      </w:r>
      <w:r>
        <w:rPr>
          <w:rFonts w:ascii="宋体" w:hAnsi="宋体" w:eastAsia="宋体" w:cs="宋体"/>
          <w:color w:val="auto"/>
          <w:sz w:val="24"/>
          <w:szCs w:val="24"/>
        </w:rPr>
        <w:tab/>
      </w:r>
      <w:r>
        <w:rPr>
          <w:rFonts w:ascii="宋体" w:hAnsi="宋体" w:eastAsia="宋体" w:cs="宋体"/>
          <w:color w:val="auto"/>
          <w:sz w:val="24"/>
          <w:szCs w:val="24"/>
        </w:rPr>
        <w:t>嵩：北京大学软件与微电子学院副教授</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阚治东：东方汇富创投管理有限公司总裁</w:t>
      </w:r>
    </w:p>
    <w:p>
      <w:pPr>
        <w:spacing w:after="0" w:line="350" w:lineRule="exact"/>
        <w:rPr>
          <w:color w:val="auto"/>
          <w:sz w:val="20"/>
          <w:szCs w:val="20"/>
        </w:rPr>
      </w:pPr>
    </w:p>
    <w:p>
      <w:pPr>
        <w:tabs>
          <w:tab w:val="left" w:pos="460"/>
        </w:tabs>
        <w:spacing w:after="0" w:line="274" w:lineRule="exact"/>
        <w:rPr>
          <w:color w:val="auto"/>
          <w:sz w:val="20"/>
          <w:szCs w:val="20"/>
        </w:rPr>
      </w:pPr>
      <w:r>
        <w:rPr>
          <w:rFonts w:ascii="宋体" w:hAnsi="宋体" w:eastAsia="宋体" w:cs="宋体"/>
          <w:color w:val="auto"/>
          <w:sz w:val="24"/>
          <w:szCs w:val="24"/>
        </w:rPr>
        <w:t>洪</w:t>
      </w:r>
      <w:r>
        <w:rPr>
          <w:rFonts w:ascii="宋体" w:hAnsi="宋体" w:eastAsia="宋体" w:cs="宋体"/>
          <w:color w:val="auto"/>
          <w:sz w:val="24"/>
          <w:szCs w:val="24"/>
        </w:rPr>
        <w:tab/>
      </w:r>
      <w:r>
        <w:rPr>
          <w:rFonts w:ascii="宋体" w:hAnsi="宋体" w:eastAsia="宋体" w:cs="宋体"/>
          <w:color w:val="auto"/>
          <w:sz w:val="24"/>
          <w:szCs w:val="24"/>
        </w:rPr>
        <w:t>磊：中国证券投资基金业协会党委书记、会长</w:t>
      </w:r>
    </w:p>
    <w:p>
      <w:pPr>
        <w:spacing w:after="0" w:line="350" w:lineRule="exact"/>
        <w:rPr>
          <w:color w:val="auto"/>
          <w:sz w:val="20"/>
          <w:szCs w:val="20"/>
        </w:rPr>
      </w:pPr>
    </w:p>
    <w:p>
      <w:pPr>
        <w:spacing w:after="0" w:line="453" w:lineRule="exact"/>
        <w:ind w:right="2766"/>
        <w:rPr>
          <w:color w:val="auto"/>
          <w:sz w:val="20"/>
          <w:szCs w:val="20"/>
        </w:rPr>
      </w:pPr>
      <w:r>
        <w:rPr>
          <w:rFonts w:ascii="宋体" w:hAnsi="宋体" w:eastAsia="宋体" w:cs="宋体"/>
          <w:color w:val="auto"/>
          <w:sz w:val="23"/>
          <w:szCs w:val="23"/>
        </w:rPr>
        <w:t>温元凯：著名经济学家、北京南洋林德投资顾问有限公司总裁金岩石：独立经济学家，北京鑫星伊顿投资顾问有限公司</w:t>
      </w:r>
      <w:r>
        <w:rPr>
          <w:rFonts w:ascii="Arial" w:hAnsi="Arial" w:eastAsia="Arial" w:cs="Arial"/>
          <w:color w:val="auto"/>
          <w:sz w:val="23"/>
          <w:szCs w:val="23"/>
        </w:rPr>
        <w:t xml:space="preserve"> CEO</w:t>
      </w:r>
    </w:p>
    <w:p>
      <w:pPr>
        <w:spacing w:after="0" w:line="277" w:lineRule="exact"/>
        <w:rPr>
          <w:color w:val="auto"/>
          <w:sz w:val="20"/>
          <w:szCs w:val="20"/>
        </w:rPr>
      </w:pPr>
    </w:p>
    <w:p>
      <w:pPr>
        <w:spacing w:after="0"/>
        <w:ind w:right="-293"/>
        <w:jc w:val="center"/>
        <w:rPr>
          <w:color w:val="auto"/>
          <w:sz w:val="20"/>
          <w:szCs w:val="20"/>
        </w:rPr>
      </w:pPr>
      <w:r>
        <w:rPr>
          <w:rFonts w:ascii="Times New Roman" w:hAnsi="Times New Roman" w:eastAsia="Times New Roman" w:cs="Times New Roman"/>
          <w:color w:val="auto"/>
          <w:sz w:val="18"/>
          <w:szCs w:val="18"/>
        </w:rPr>
        <w:t>4</w:t>
      </w:r>
    </w:p>
    <w:p>
      <w:pPr>
        <w:sectPr>
          <w:pgSz w:w="11900" w:h="16838"/>
          <w:pgMar w:top="1440" w:right="1440" w:bottom="456" w:left="1140" w:header="0" w:footer="0" w:gutter="0"/>
          <w:cols w:equalWidth="0" w:num="1">
            <w:col w:w="9326"/>
          </w:cols>
        </w:sectPr>
      </w:pPr>
    </w:p>
    <w:p>
      <w:pPr>
        <w:spacing w:after="0" w:line="200" w:lineRule="exact"/>
        <w:rPr>
          <w:color w:val="auto"/>
          <w:sz w:val="20"/>
          <w:szCs w:val="20"/>
        </w:rPr>
      </w:pPr>
      <w:bookmarkStart w:id="4" w:name="page5"/>
      <w:bookmarkEnd w:id="4"/>
      <w:r>
        <w:rPr>
          <w:color w:val="auto"/>
          <w:sz w:val="20"/>
          <w:szCs w:val="20"/>
        </w:rPr>
        <w:drawing>
          <wp:anchor distT="0" distB="0" distL="114300" distR="114300" simplePos="0" relativeHeight="251658240"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line="279" w:lineRule="exact"/>
        <w:rPr>
          <w:color w:val="auto"/>
          <w:sz w:val="20"/>
          <w:szCs w:val="20"/>
        </w:rPr>
      </w:pPr>
      <w:r>
        <w:rPr>
          <w:rFonts w:ascii="宋体" w:hAnsi="宋体" w:eastAsia="宋体" w:cs="宋体"/>
          <w:color w:val="auto"/>
          <w:sz w:val="23"/>
          <w:szCs w:val="23"/>
        </w:rPr>
        <w:t>朱少平：曾任中共孝南区委常委、副书记，</w:t>
      </w:r>
      <w:r>
        <w:rPr>
          <w:rFonts w:ascii="Arial" w:hAnsi="Arial" w:eastAsia="Arial" w:cs="Arial"/>
          <w:color w:val="auto"/>
          <w:sz w:val="23"/>
          <w:szCs w:val="23"/>
        </w:rPr>
        <w:t xml:space="preserve">1994 </w:t>
      </w:r>
      <w:r>
        <w:rPr>
          <w:rFonts w:ascii="宋体" w:hAnsi="宋体" w:eastAsia="宋体" w:cs="宋体"/>
          <w:color w:val="auto"/>
          <w:sz w:val="23"/>
          <w:szCs w:val="23"/>
        </w:rPr>
        <w:t>年</w:t>
      </w:r>
      <w:r>
        <w:rPr>
          <w:rFonts w:ascii="Arial" w:hAnsi="Arial" w:eastAsia="Arial" w:cs="Arial"/>
          <w:color w:val="auto"/>
          <w:sz w:val="23"/>
          <w:szCs w:val="23"/>
        </w:rPr>
        <w:t xml:space="preserve"> 9 </w:t>
      </w:r>
      <w:r>
        <w:rPr>
          <w:rFonts w:ascii="宋体" w:hAnsi="宋体" w:eastAsia="宋体" w:cs="宋体"/>
          <w:color w:val="auto"/>
          <w:sz w:val="23"/>
          <w:szCs w:val="23"/>
        </w:rPr>
        <w:t>月至</w:t>
      </w:r>
      <w:r>
        <w:rPr>
          <w:rFonts w:ascii="Arial" w:hAnsi="Arial" w:eastAsia="Arial" w:cs="Arial"/>
          <w:color w:val="auto"/>
          <w:sz w:val="23"/>
          <w:szCs w:val="23"/>
        </w:rPr>
        <w:t xml:space="preserve"> 2012 </w:t>
      </w:r>
      <w:r>
        <w:rPr>
          <w:rFonts w:ascii="宋体" w:hAnsi="宋体" w:eastAsia="宋体" w:cs="宋体"/>
          <w:color w:val="auto"/>
          <w:sz w:val="23"/>
          <w:szCs w:val="23"/>
        </w:rPr>
        <w:t>年任全国人大财经委法案主任</w:t>
      </w:r>
    </w:p>
    <w:p>
      <w:pPr>
        <w:spacing w:after="0" w:line="345"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刘健钧：中国社科院研究生院教授、基金与证券资深立法专家</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鲁公路：清华五道口国家金融研究院研究员</w:t>
      </w:r>
    </w:p>
    <w:p>
      <w:pPr>
        <w:spacing w:after="0" w:line="350" w:lineRule="exact"/>
        <w:rPr>
          <w:color w:val="auto"/>
          <w:sz w:val="20"/>
          <w:szCs w:val="20"/>
        </w:rPr>
      </w:pPr>
    </w:p>
    <w:p>
      <w:pPr>
        <w:spacing w:after="0" w:line="274" w:lineRule="exact"/>
        <w:rPr>
          <w:color w:val="auto"/>
          <w:sz w:val="20"/>
          <w:szCs w:val="20"/>
        </w:rPr>
      </w:pPr>
      <w:r>
        <w:rPr>
          <w:rFonts w:ascii="宋体" w:hAnsi="宋体" w:eastAsia="宋体" w:cs="宋体"/>
          <w:color w:val="auto"/>
          <w:sz w:val="24"/>
          <w:szCs w:val="24"/>
        </w:rPr>
        <w:t>王岳华：德丰杰龙脉中国基金团队资深投资管理人</w:t>
      </w:r>
    </w:p>
    <w:p>
      <w:pPr>
        <w:spacing w:after="0" w:line="350" w:lineRule="exact"/>
        <w:rPr>
          <w:color w:val="auto"/>
          <w:sz w:val="20"/>
          <w:szCs w:val="20"/>
        </w:rPr>
      </w:pPr>
    </w:p>
    <w:p>
      <w:pPr>
        <w:tabs>
          <w:tab w:val="left" w:pos="460"/>
        </w:tabs>
        <w:spacing w:after="0" w:line="274" w:lineRule="exact"/>
        <w:rPr>
          <w:color w:val="auto"/>
          <w:sz w:val="20"/>
          <w:szCs w:val="20"/>
        </w:rPr>
      </w:pPr>
      <w:r>
        <w:rPr>
          <w:rFonts w:ascii="宋体" w:hAnsi="宋体" w:eastAsia="宋体" w:cs="宋体"/>
          <w:color w:val="auto"/>
          <w:sz w:val="24"/>
          <w:szCs w:val="24"/>
        </w:rPr>
        <w:t>吴</w:t>
      </w:r>
      <w:r>
        <w:rPr>
          <w:rFonts w:ascii="宋体" w:hAnsi="宋体" w:eastAsia="宋体" w:cs="宋体"/>
          <w:color w:val="auto"/>
          <w:sz w:val="24"/>
          <w:szCs w:val="24"/>
        </w:rPr>
        <w:tab/>
      </w:r>
      <w:r>
        <w:rPr>
          <w:rFonts w:ascii="宋体" w:hAnsi="宋体" w:eastAsia="宋体" w:cs="宋体"/>
          <w:color w:val="auto"/>
          <w:sz w:val="24"/>
          <w:szCs w:val="24"/>
        </w:rPr>
        <w:t>军：深圳久久益资产管理有限公司董事长、深圳市新三板投融资服务协会会长</w:t>
      </w: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line="291" w:lineRule="exact"/>
        <w:rPr>
          <w:color w:val="auto"/>
          <w:sz w:val="20"/>
          <w:szCs w:val="20"/>
        </w:rPr>
      </w:pPr>
      <w:r>
        <w:rPr>
          <w:rFonts w:ascii="宋体" w:hAnsi="宋体" w:eastAsia="宋体" w:cs="宋体"/>
          <w:b/>
          <w:bCs/>
          <w:color w:val="auto"/>
          <w:sz w:val="24"/>
          <w:szCs w:val="24"/>
        </w:rPr>
        <w:t>【学习时间】</w:t>
      </w:r>
      <w:r>
        <w:rPr>
          <w:rFonts w:ascii="宋体" w:hAnsi="宋体" w:eastAsia="宋体" w:cs="宋体"/>
          <w:color w:val="auto"/>
          <w:sz w:val="24"/>
          <w:szCs w:val="24"/>
        </w:rPr>
        <w:t>一年半．每个月上课一次，每次集中授课</w:t>
      </w:r>
      <w:r>
        <w:rPr>
          <w:rFonts w:ascii="Arial" w:hAnsi="Arial" w:eastAsia="Arial" w:cs="Arial"/>
          <w:color w:val="auto"/>
          <w:sz w:val="24"/>
          <w:szCs w:val="24"/>
        </w:rPr>
        <w:t xml:space="preserve"> 2 </w:t>
      </w:r>
      <w:r>
        <w:rPr>
          <w:rFonts w:ascii="宋体" w:hAnsi="宋体" w:eastAsia="宋体" w:cs="宋体"/>
          <w:color w:val="auto"/>
          <w:sz w:val="24"/>
          <w:szCs w:val="24"/>
        </w:rPr>
        <w:t>天。一共</w:t>
      </w:r>
      <w:r>
        <w:rPr>
          <w:rFonts w:ascii="Arial" w:hAnsi="Arial" w:eastAsia="Arial" w:cs="Arial"/>
          <w:color w:val="auto"/>
          <w:sz w:val="24"/>
          <w:szCs w:val="24"/>
        </w:rPr>
        <w:t xml:space="preserve"> 30 </w:t>
      </w:r>
      <w:r>
        <w:rPr>
          <w:rFonts w:ascii="宋体" w:hAnsi="宋体" w:eastAsia="宋体" w:cs="宋体"/>
          <w:color w:val="auto"/>
          <w:sz w:val="24"/>
          <w:szCs w:val="24"/>
        </w:rPr>
        <w:t>天课程。</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【授课地点】</w:t>
      </w:r>
    </w:p>
    <w:p>
      <w:pPr>
        <w:spacing w:after="0" w:line="203"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北京大学</w:t>
      </w:r>
    </w:p>
    <w:p>
      <w:pPr>
        <w:spacing w:after="0" w:line="221"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【证书管理】</w:t>
      </w:r>
    </w:p>
    <w:p>
      <w:pPr>
        <w:spacing w:after="0" w:line="206" w:lineRule="exact"/>
        <w:rPr>
          <w:color w:val="auto"/>
          <w:sz w:val="20"/>
          <w:szCs w:val="20"/>
        </w:rPr>
      </w:pPr>
    </w:p>
    <w:p>
      <w:pPr>
        <w:spacing w:after="0" w:line="315" w:lineRule="exact"/>
        <w:ind w:firstLine="480"/>
        <w:rPr>
          <w:color w:val="auto"/>
          <w:sz w:val="20"/>
          <w:szCs w:val="20"/>
        </w:rPr>
      </w:pPr>
      <w:r>
        <w:rPr>
          <w:rFonts w:ascii="宋体" w:hAnsi="宋体" w:eastAsia="宋体" w:cs="宋体"/>
          <w:color w:val="auto"/>
          <w:sz w:val="24"/>
          <w:szCs w:val="24"/>
        </w:rPr>
        <w:t>学完全部课程并考核合格后，由北京大学颁发学校统一编号的培训结业证书，证书盖北京大学钢印，证书编号可登陆北大网站查询。</w:t>
      </w:r>
    </w:p>
    <w:p>
      <w:pPr>
        <w:spacing w:after="0" w:line="213"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【学费标准】</w:t>
      </w:r>
    </w:p>
    <w:p>
      <w:pPr>
        <w:spacing w:after="0" w:line="335" w:lineRule="exact"/>
        <w:rPr>
          <w:color w:val="auto"/>
          <w:sz w:val="20"/>
          <w:szCs w:val="20"/>
        </w:rPr>
      </w:pPr>
    </w:p>
    <w:p>
      <w:pPr>
        <w:spacing w:after="0" w:line="291" w:lineRule="exact"/>
        <w:ind w:left="480"/>
        <w:rPr>
          <w:color w:val="auto"/>
          <w:sz w:val="20"/>
          <w:szCs w:val="20"/>
        </w:rPr>
      </w:pPr>
      <w:r>
        <w:rPr>
          <w:rFonts w:ascii="宋体" w:hAnsi="宋体" w:eastAsia="宋体" w:cs="宋体"/>
          <w:color w:val="auto"/>
          <w:sz w:val="24"/>
          <w:szCs w:val="24"/>
        </w:rPr>
        <w:t>培训学费：</w:t>
      </w:r>
      <w:r>
        <w:rPr>
          <w:rFonts w:ascii="宋体" w:hAnsi="宋体" w:eastAsia="宋体" w:cs="宋体"/>
          <w:b/>
          <w:bCs/>
          <w:color w:val="auto"/>
          <w:sz w:val="24"/>
          <w:szCs w:val="24"/>
        </w:rPr>
        <w:t>￥</w:t>
      </w:r>
      <w:r>
        <w:rPr>
          <w:rFonts w:ascii="Arial" w:hAnsi="Arial" w:eastAsia="Arial" w:cs="Arial"/>
          <w:b/>
          <w:bCs/>
          <w:color w:val="auto"/>
          <w:sz w:val="24"/>
          <w:szCs w:val="24"/>
        </w:rPr>
        <w:t xml:space="preserve">128000 </w:t>
      </w:r>
      <w:r>
        <w:rPr>
          <w:rFonts w:ascii="宋体" w:hAnsi="宋体" w:eastAsia="宋体" w:cs="宋体"/>
          <w:b/>
          <w:bCs/>
          <w:color w:val="auto"/>
          <w:sz w:val="24"/>
          <w:szCs w:val="24"/>
        </w:rPr>
        <w:t>元</w:t>
      </w:r>
      <w:r>
        <w:rPr>
          <w:rFonts w:ascii="Arial" w:hAnsi="Arial" w:eastAsia="Arial" w:cs="Arial"/>
          <w:b/>
          <w:bCs/>
          <w:color w:val="auto"/>
          <w:sz w:val="24"/>
          <w:szCs w:val="24"/>
        </w:rPr>
        <w:t>/</w:t>
      </w:r>
      <w:r>
        <w:rPr>
          <w:rFonts w:ascii="宋体" w:hAnsi="宋体" w:eastAsia="宋体" w:cs="宋体"/>
          <w:b/>
          <w:bCs/>
          <w:color w:val="auto"/>
          <w:sz w:val="24"/>
          <w:szCs w:val="24"/>
        </w:rPr>
        <w:t>人</w:t>
      </w:r>
      <w:r>
        <w:rPr>
          <w:rFonts w:ascii="Arial" w:hAnsi="Arial" w:eastAsia="Arial" w:cs="Arial"/>
          <w:b/>
          <w:bCs/>
          <w:color w:val="auto"/>
          <w:sz w:val="24"/>
          <w:szCs w:val="24"/>
        </w:rPr>
        <w:t>/</w:t>
      </w:r>
      <w:r>
        <w:rPr>
          <w:rFonts w:ascii="宋体" w:hAnsi="宋体" w:eastAsia="宋体" w:cs="宋体"/>
          <w:b/>
          <w:bCs/>
          <w:color w:val="auto"/>
          <w:sz w:val="24"/>
          <w:szCs w:val="24"/>
        </w:rPr>
        <w:t>期</w:t>
      </w:r>
      <w:r>
        <w:rPr>
          <w:rFonts w:ascii="宋体" w:hAnsi="宋体" w:eastAsia="宋体" w:cs="宋体"/>
          <w:color w:val="auto"/>
          <w:sz w:val="24"/>
          <w:szCs w:val="24"/>
        </w:rPr>
        <w:t>，上课期间食宿及其它费用自理。</w:t>
      </w:r>
    </w:p>
    <w:p>
      <w:pPr>
        <w:spacing w:after="0" w:line="360" w:lineRule="exact"/>
        <w:rPr>
          <w:color w:val="auto"/>
          <w:sz w:val="20"/>
          <w:szCs w:val="20"/>
        </w:rPr>
      </w:pPr>
    </w:p>
    <w:p>
      <w:pPr>
        <w:spacing w:after="0" w:line="327" w:lineRule="exact"/>
        <w:ind w:right="40" w:firstLine="480"/>
        <w:jc w:val="both"/>
        <w:rPr>
          <w:color w:val="auto"/>
          <w:sz w:val="20"/>
          <w:szCs w:val="20"/>
        </w:rPr>
      </w:pPr>
      <w:r>
        <w:rPr>
          <w:rFonts w:ascii="宋体" w:hAnsi="宋体" w:eastAsia="宋体" w:cs="宋体"/>
          <w:color w:val="auto"/>
          <w:sz w:val="24"/>
          <w:szCs w:val="24"/>
        </w:rPr>
        <w:t>培训学费由北京大学财务部在开班前统一收取，开具中央非税收入统一票据，并严格执行有关财务规定。请学员将学费汇至北京大学帐户。请直接向北京大学交费，不要向其他任何个人或组织交费。</w:t>
      </w:r>
    </w:p>
    <w:p>
      <w:pPr>
        <w:spacing w:after="0" w:line="215"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【汇款方式】</w:t>
      </w:r>
    </w:p>
    <w:p>
      <w:pPr>
        <w:spacing w:after="0" w:line="206" w:lineRule="exact"/>
        <w:rPr>
          <w:color w:val="auto"/>
          <w:sz w:val="20"/>
          <w:szCs w:val="20"/>
        </w:rPr>
      </w:pPr>
    </w:p>
    <w:p>
      <w:pPr>
        <w:tabs>
          <w:tab w:val="left" w:pos="940"/>
        </w:tabs>
        <w:spacing w:after="0" w:line="274" w:lineRule="exact"/>
        <w:ind w:left="480"/>
        <w:rPr>
          <w:color w:val="auto"/>
          <w:sz w:val="20"/>
          <w:szCs w:val="20"/>
        </w:rPr>
      </w:pPr>
      <w:r>
        <w:rPr>
          <w:rFonts w:ascii="宋体" w:hAnsi="宋体" w:eastAsia="宋体" w:cs="宋体"/>
          <w:color w:val="auto"/>
          <w:sz w:val="24"/>
          <w:szCs w:val="24"/>
        </w:rPr>
        <w:t>户</w:t>
      </w:r>
      <w:r>
        <w:rPr>
          <w:rFonts w:ascii="宋体" w:hAnsi="宋体" w:eastAsia="宋体" w:cs="宋体"/>
          <w:color w:val="auto"/>
          <w:sz w:val="24"/>
          <w:szCs w:val="24"/>
        </w:rPr>
        <w:tab/>
      </w:r>
      <w:r>
        <w:rPr>
          <w:rFonts w:ascii="宋体" w:hAnsi="宋体" w:eastAsia="宋体" w:cs="宋体"/>
          <w:color w:val="auto"/>
          <w:sz w:val="24"/>
          <w:szCs w:val="24"/>
        </w:rPr>
        <w:t>名：北京大学</w:t>
      </w:r>
    </w:p>
    <w:p>
      <w:pPr>
        <w:spacing w:after="0" w:line="233" w:lineRule="exact"/>
        <w:rPr>
          <w:color w:val="auto"/>
          <w:sz w:val="20"/>
          <w:szCs w:val="20"/>
        </w:rPr>
      </w:pPr>
    </w:p>
    <w:p>
      <w:pPr>
        <w:spacing w:after="0" w:line="274" w:lineRule="exact"/>
        <w:ind w:left="480"/>
        <w:rPr>
          <w:color w:val="auto"/>
          <w:sz w:val="20"/>
          <w:szCs w:val="20"/>
        </w:rPr>
      </w:pPr>
      <w:r>
        <w:rPr>
          <w:rFonts w:ascii="宋体" w:hAnsi="宋体" w:eastAsia="宋体" w:cs="宋体"/>
          <w:color w:val="auto"/>
          <w:sz w:val="24"/>
          <w:szCs w:val="24"/>
        </w:rPr>
        <w:t>开户行：工行北京海淀西区支行</w:t>
      </w:r>
    </w:p>
    <w:p>
      <w:pPr>
        <w:spacing w:after="0" w:line="221" w:lineRule="exact"/>
        <w:rPr>
          <w:color w:val="auto"/>
          <w:sz w:val="20"/>
          <w:szCs w:val="20"/>
        </w:rPr>
      </w:pPr>
    </w:p>
    <w:p>
      <w:pPr>
        <w:tabs>
          <w:tab w:val="left" w:pos="940"/>
        </w:tabs>
        <w:spacing w:after="0" w:line="291" w:lineRule="exact"/>
        <w:ind w:left="480"/>
        <w:rPr>
          <w:color w:val="auto"/>
          <w:sz w:val="20"/>
          <w:szCs w:val="20"/>
        </w:rPr>
      </w:pPr>
      <w:r>
        <w:rPr>
          <w:rFonts w:ascii="宋体" w:hAnsi="宋体" w:eastAsia="宋体" w:cs="宋体"/>
          <w:color w:val="auto"/>
          <w:sz w:val="24"/>
          <w:szCs w:val="24"/>
        </w:rPr>
        <w:t>帐</w:t>
      </w:r>
      <w:r>
        <w:rPr>
          <w:color w:val="auto"/>
          <w:sz w:val="20"/>
          <w:szCs w:val="20"/>
        </w:rPr>
        <w:tab/>
      </w:r>
      <w:r>
        <w:rPr>
          <w:rFonts w:ascii="宋体" w:hAnsi="宋体" w:eastAsia="宋体" w:cs="宋体"/>
          <w:color w:val="auto"/>
          <w:sz w:val="24"/>
          <w:szCs w:val="24"/>
        </w:rPr>
        <w:t>号：</w:t>
      </w:r>
      <w:r>
        <w:rPr>
          <w:rFonts w:ascii="Arial" w:hAnsi="Arial" w:eastAsia="Arial" w:cs="Arial"/>
          <w:color w:val="auto"/>
          <w:sz w:val="24"/>
          <w:szCs w:val="24"/>
        </w:rPr>
        <w:t>0200004509089131151</w:t>
      </w:r>
    </w:p>
    <w:p>
      <w:pPr>
        <w:spacing w:after="0" w:line="225" w:lineRule="exact"/>
        <w:rPr>
          <w:color w:val="auto"/>
          <w:sz w:val="20"/>
          <w:szCs w:val="20"/>
        </w:rPr>
      </w:pPr>
    </w:p>
    <w:p>
      <w:pPr>
        <w:spacing w:after="0" w:line="315" w:lineRule="exact"/>
        <w:ind w:firstLine="480"/>
        <w:rPr>
          <w:color w:val="auto"/>
          <w:sz w:val="20"/>
          <w:szCs w:val="20"/>
        </w:rPr>
      </w:pPr>
      <w:r>
        <w:rPr>
          <w:rFonts w:ascii="宋体" w:hAnsi="宋体" w:eastAsia="宋体" w:cs="宋体"/>
          <w:color w:val="auto"/>
          <w:sz w:val="24"/>
          <w:szCs w:val="24"/>
        </w:rPr>
        <w:t>在汇款单</w:t>
      </w:r>
      <w:r>
        <w:rPr>
          <w:rFonts w:ascii="Arial" w:hAnsi="Arial" w:eastAsia="Arial" w:cs="Arial"/>
          <w:color w:val="auto"/>
          <w:sz w:val="24"/>
          <w:szCs w:val="24"/>
        </w:rPr>
        <w:t>“</w:t>
      </w:r>
      <w:r>
        <w:rPr>
          <w:rFonts w:ascii="宋体" w:hAnsi="宋体" w:eastAsia="宋体" w:cs="宋体"/>
          <w:color w:val="auto"/>
          <w:sz w:val="24"/>
          <w:szCs w:val="24"/>
        </w:rPr>
        <w:t>用途</w:t>
      </w:r>
      <w:r>
        <w:rPr>
          <w:rFonts w:ascii="Arial" w:hAnsi="Arial" w:eastAsia="Arial" w:cs="Arial"/>
          <w:color w:val="auto"/>
          <w:sz w:val="24"/>
          <w:szCs w:val="24"/>
        </w:rPr>
        <w:t>”</w:t>
      </w:r>
      <w:r>
        <w:rPr>
          <w:rFonts w:ascii="宋体" w:hAnsi="宋体" w:eastAsia="宋体" w:cs="宋体"/>
          <w:color w:val="auto"/>
          <w:sz w:val="24"/>
          <w:szCs w:val="24"/>
        </w:rPr>
        <w:t>栏里务必填上</w:t>
      </w:r>
      <w:r>
        <w:rPr>
          <w:rFonts w:ascii="Arial" w:hAnsi="Arial" w:eastAsia="Arial" w:cs="Arial"/>
          <w:color w:val="auto"/>
          <w:sz w:val="24"/>
          <w:szCs w:val="24"/>
        </w:rPr>
        <w:t>“</w:t>
      </w:r>
      <w:r>
        <w:rPr>
          <w:rFonts w:ascii="宋体" w:hAnsi="宋体" w:eastAsia="宋体" w:cs="宋体"/>
          <w:color w:val="auto"/>
          <w:sz w:val="24"/>
          <w:szCs w:val="24"/>
        </w:rPr>
        <w:t>经济学院金融与投资修班</w:t>
      </w:r>
      <w:r>
        <w:rPr>
          <w:rFonts w:ascii="Arial" w:hAnsi="Arial" w:eastAsia="Arial" w:cs="Arial"/>
          <w:color w:val="auto"/>
          <w:sz w:val="24"/>
          <w:szCs w:val="24"/>
        </w:rPr>
        <w:t>+</w:t>
      </w:r>
      <w:r>
        <w:rPr>
          <w:rFonts w:ascii="宋体" w:hAnsi="宋体" w:eastAsia="宋体" w:cs="宋体"/>
          <w:color w:val="auto"/>
          <w:sz w:val="24"/>
          <w:szCs w:val="24"/>
        </w:rPr>
        <w:t>学员姓名</w:t>
      </w:r>
      <w:r>
        <w:rPr>
          <w:rFonts w:ascii="Arial" w:hAnsi="Arial" w:eastAsia="Arial" w:cs="Arial"/>
          <w:color w:val="auto"/>
          <w:sz w:val="24"/>
          <w:szCs w:val="24"/>
        </w:rPr>
        <w:t>”</w:t>
      </w:r>
      <w:r>
        <w:rPr>
          <w:rFonts w:ascii="宋体" w:hAnsi="宋体" w:eastAsia="宋体" w:cs="宋体"/>
          <w:color w:val="auto"/>
          <w:sz w:val="24"/>
          <w:szCs w:val="24"/>
        </w:rPr>
        <w:t>。 汇款后请将银行汇款回单复印件发送给教务组。</w:t>
      </w:r>
    </w:p>
    <w:p>
      <w:pPr>
        <w:spacing w:after="0" w:line="215" w:lineRule="exact"/>
        <w:rPr>
          <w:color w:val="auto"/>
          <w:sz w:val="20"/>
          <w:szCs w:val="20"/>
        </w:rPr>
      </w:pPr>
    </w:p>
    <w:p>
      <w:pPr>
        <w:spacing w:after="0" w:line="274" w:lineRule="exact"/>
        <w:rPr>
          <w:color w:val="auto"/>
          <w:sz w:val="20"/>
          <w:szCs w:val="20"/>
        </w:rPr>
      </w:pPr>
      <w:r>
        <w:rPr>
          <w:rFonts w:ascii="宋体" w:hAnsi="宋体" w:eastAsia="宋体" w:cs="宋体"/>
          <w:b/>
          <w:bCs/>
          <w:color w:val="auto"/>
          <w:sz w:val="24"/>
          <w:szCs w:val="24"/>
        </w:rPr>
        <w:t>【报名流程】</w:t>
      </w:r>
    </w:p>
    <w:p>
      <w:pPr>
        <w:spacing w:after="0" w:line="196" w:lineRule="exact"/>
        <w:rPr>
          <w:color w:val="auto"/>
          <w:sz w:val="20"/>
          <w:szCs w:val="20"/>
        </w:rPr>
      </w:pPr>
    </w:p>
    <w:p>
      <w:pPr>
        <w:spacing w:after="0" w:line="291" w:lineRule="exact"/>
        <w:rPr>
          <w:color w:val="auto"/>
          <w:sz w:val="20"/>
          <w:szCs w:val="20"/>
        </w:rPr>
      </w:pPr>
      <w:r>
        <w:rPr>
          <w:rFonts w:ascii="宋体" w:hAnsi="宋体" w:eastAsia="宋体" w:cs="宋体"/>
          <w:b/>
          <w:bCs/>
          <w:color w:val="auto"/>
          <w:sz w:val="24"/>
          <w:szCs w:val="24"/>
        </w:rPr>
        <w:t>填写报名表</w:t>
      </w:r>
      <w:r>
        <w:rPr>
          <w:rFonts w:ascii="Arial" w:hAnsi="Arial" w:eastAsia="Arial" w:cs="Arial"/>
          <w:b/>
          <w:bCs/>
          <w:color w:val="auto"/>
          <w:sz w:val="24"/>
          <w:szCs w:val="24"/>
        </w:rPr>
        <w:t xml:space="preserve">  →  </w:t>
      </w:r>
      <w:r>
        <w:rPr>
          <w:rFonts w:ascii="宋体" w:hAnsi="宋体" w:eastAsia="宋体" w:cs="宋体"/>
          <w:b/>
          <w:bCs/>
          <w:color w:val="auto"/>
          <w:sz w:val="24"/>
          <w:szCs w:val="24"/>
        </w:rPr>
        <w:t>邮寄报名材料和照片</w:t>
      </w:r>
      <w:r>
        <w:rPr>
          <w:rFonts w:ascii="Arial" w:hAnsi="Arial" w:eastAsia="Arial" w:cs="Arial"/>
          <w:b/>
          <w:bCs/>
          <w:color w:val="auto"/>
          <w:sz w:val="24"/>
          <w:szCs w:val="24"/>
        </w:rPr>
        <w:t>→</w:t>
      </w:r>
      <w:r>
        <w:rPr>
          <w:rFonts w:ascii="宋体" w:hAnsi="宋体" w:eastAsia="宋体" w:cs="宋体"/>
          <w:b/>
          <w:bCs/>
          <w:color w:val="auto"/>
          <w:sz w:val="24"/>
          <w:szCs w:val="24"/>
        </w:rPr>
        <w:t>缴纳学费</w:t>
      </w:r>
      <w:r>
        <w:rPr>
          <w:rFonts w:ascii="Arial" w:hAnsi="Arial" w:eastAsia="Arial" w:cs="Arial"/>
          <w:b/>
          <w:bCs/>
          <w:color w:val="auto"/>
          <w:sz w:val="24"/>
          <w:szCs w:val="24"/>
        </w:rPr>
        <w:t xml:space="preserve">  →  </w:t>
      </w:r>
      <w:r>
        <w:rPr>
          <w:rFonts w:ascii="宋体" w:hAnsi="宋体" w:eastAsia="宋体" w:cs="宋体"/>
          <w:b/>
          <w:bCs/>
          <w:color w:val="auto"/>
          <w:sz w:val="24"/>
          <w:szCs w:val="24"/>
        </w:rPr>
        <w:t>发入学通知书</w:t>
      </w:r>
      <w:r>
        <w:rPr>
          <w:rFonts w:ascii="Arial" w:hAnsi="Arial" w:eastAsia="Arial" w:cs="Arial"/>
          <w:b/>
          <w:bCs/>
          <w:color w:val="auto"/>
          <w:sz w:val="24"/>
          <w:szCs w:val="24"/>
        </w:rPr>
        <w:t xml:space="preserve">  →  </w:t>
      </w:r>
      <w:r>
        <w:rPr>
          <w:rFonts w:ascii="宋体" w:hAnsi="宋体" w:eastAsia="宋体" w:cs="宋体"/>
          <w:b/>
          <w:bCs/>
          <w:color w:val="auto"/>
          <w:sz w:val="24"/>
          <w:szCs w:val="24"/>
        </w:rPr>
        <w:t>报到入学</w:t>
      </w:r>
    </w:p>
    <w:p>
      <w:pPr>
        <w:spacing w:after="0" w:line="31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18"/>
          <w:szCs w:val="18"/>
        </w:rPr>
        <w:t>5</w:t>
      </w:r>
    </w:p>
    <w:p>
      <w:pPr>
        <w:sectPr>
          <w:pgSz w:w="11900" w:h="16838"/>
          <w:pgMar w:top="1440" w:right="1126" w:bottom="456" w:left="1140" w:header="0" w:footer="0" w:gutter="0"/>
          <w:cols w:equalWidth="0" w:num="1">
            <w:col w:w="9640"/>
          </w:cols>
        </w:sectPr>
      </w:pPr>
    </w:p>
    <w:p>
      <w:pPr>
        <w:spacing w:after="0" w:line="200" w:lineRule="exact"/>
        <w:rPr>
          <w:color w:val="auto"/>
          <w:sz w:val="20"/>
          <w:szCs w:val="20"/>
        </w:rPr>
      </w:pPr>
      <w:bookmarkStart w:id="5" w:name="page6"/>
      <w:bookmarkEnd w:id="5"/>
      <w:r>
        <w:rPr>
          <w:color w:val="auto"/>
          <w:sz w:val="20"/>
          <w:szCs w:val="20"/>
        </w:rPr>
        <w:drawing>
          <wp:anchor distT="0" distB="0" distL="114300" distR="114300" simplePos="0" relativeHeight="251658240" behindDoc="1" locked="0" layoutInCell="0" allowOverlap="1">
            <wp:simplePos x="0" y="0"/>
            <wp:positionH relativeFrom="page">
              <wp:posOffset>658495</wp:posOffset>
            </wp:positionH>
            <wp:positionV relativeFrom="page">
              <wp:posOffset>539750</wp:posOffset>
            </wp:positionV>
            <wp:extent cx="6188075" cy="581660"/>
            <wp:effectExtent l="0" t="0" r="317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6188075" cy="5816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numPr>
          <w:ilvl w:val="0"/>
          <w:numId w:val="2"/>
        </w:numPr>
        <w:tabs>
          <w:tab w:val="left" w:pos="367"/>
        </w:tabs>
        <w:spacing w:after="0" w:line="276" w:lineRule="exact"/>
        <w:ind w:left="367" w:hanging="367"/>
        <w:rPr>
          <w:rFonts w:ascii="Gulim" w:hAnsi="Gulim" w:eastAsia="Gulim" w:cs="Gulim"/>
          <w:color w:val="auto"/>
          <w:sz w:val="24"/>
          <w:szCs w:val="24"/>
        </w:rPr>
      </w:pPr>
      <w:r>
        <w:rPr>
          <w:rFonts w:ascii="宋体" w:hAnsi="宋体" w:eastAsia="宋体" w:cs="宋体"/>
          <w:color w:val="auto"/>
          <w:sz w:val="24"/>
          <w:szCs w:val="24"/>
        </w:rPr>
        <w:t>申请报名：申请者可通过电话索要报名表报名，报名表格复印有效。</w:t>
      </w:r>
    </w:p>
    <w:p>
      <w:pPr>
        <w:spacing w:after="0" w:line="231" w:lineRule="exact"/>
        <w:rPr>
          <w:color w:val="auto"/>
          <w:sz w:val="20"/>
          <w:szCs w:val="20"/>
        </w:rPr>
      </w:pPr>
    </w:p>
    <w:p>
      <w:pPr>
        <w:spacing w:after="0" w:line="315" w:lineRule="exact"/>
        <w:ind w:left="7" w:right="40"/>
        <w:rPr>
          <w:color w:val="auto"/>
          <w:sz w:val="20"/>
          <w:szCs w:val="20"/>
        </w:rPr>
      </w:pPr>
      <w:r>
        <w:rPr>
          <w:rFonts w:ascii="宋体" w:hAnsi="宋体" w:eastAsia="宋体" w:cs="宋体"/>
          <w:color w:val="auto"/>
          <w:sz w:val="24"/>
          <w:szCs w:val="24"/>
        </w:rPr>
        <w:t>报名表填写后请用电子邮件发送，并同时邮寄报名材料和照片，包括本人身份证、学历证明及交费单据复印件、四张证件照片（</w:t>
      </w:r>
      <w:r>
        <w:rPr>
          <w:rFonts w:ascii="Arial" w:hAnsi="Arial" w:eastAsia="Arial" w:cs="Arial"/>
          <w:color w:val="auto"/>
          <w:sz w:val="24"/>
          <w:szCs w:val="24"/>
        </w:rPr>
        <w:t xml:space="preserve">1 </w:t>
      </w:r>
      <w:r>
        <w:rPr>
          <w:rFonts w:ascii="宋体" w:hAnsi="宋体" w:eastAsia="宋体" w:cs="宋体"/>
          <w:color w:val="auto"/>
          <w:sz w:val="24"/>
          <w:szCs w:val="24"/>
        </w:rPr>
        <w:t>寸和</w:t>
      </w:r>
      <w:r>
        <w:rPr>
          <w:rFonts w:ascii="Arial" w:hAnsi="Arial" w:eastAsia="Arial" w:cs="Arial"/>
          <w:color w:val="auto"/>
          <w:sz w:val="24"/>
          <w:szCs w:val="24"/>
        </w:rPr>
        <w:t xml:space="preserve"> 2 </w:t>
      </w:r>
      <w:r>
        <w:rPr>
          <w:rFonts w:ascii="宋体" w:hAnsi="宋体" w:eastAsia="宋体" w:cs="宋体"/>
          <w:color w:val="auto"/>
          <w:sz w:val="24"/>
          <w:szCs w:val="24"/>
        </w:rPr>
        <w:t>寸照片各两张，照片背面写明姓名）。</w:t>
      </w:r>
    </w:p>
    <w:p>
      <w:pPr>
        <w:spacing w:after="0" w:line="226" w:lineRule="exact"/>
        <w:rPr>
          <w:color w:val="auto"/>
          <w:sz w:val="20"/>
          <w:szCs w:val="20"/>
        </w:rPr>
      </w:pPr>
    </w:p>
    <w:p>
      <w:pPr>
        <w:numPr>
          <w:ilvl w:val="0"/>
          <w:numId w:val="3"/>
        </w:numPr>
        <w:tabs>
          <w:tab w:val="left" w:pos="367"/>
        </w:tabs>
        <w:spacing w:after="0" w:line="276" w:lineRule="exact"/>
        <w:ind w:left="367" w:hanging="367"/>
        <w:rPr>
          <w:rFonts w:ascii="Gulim" w:hAnsi="Gulim" w:eastAsia="Gulim" w:cs="Gulim"/>
          <w:color w:val="auto"/>
          <w:sz w:val="24"/>
          <w:szCs w:val="24"/>
        </w:rPr>
      </w:pPr>
      <w:r>
        <w:rPr>
          <w:rFonts w:ascii="宋体" w:hAnsi="宋体" w:eastAsia="宋体" w:cs="宋体"/>
          <w:color w:val="auto"/>
          <w:sz w:val="24"/>
          <w:szCs w:val="24"/>
        </w:rPr>
        <w:t>确认回访：经审查合格者，发</w:t>
      </w:r>
      <w:r>
        <w:rPr>
          <w:rFonts w:ascii="Gulim" w:hAnsi="Gulim" w:eastAsia="Gulim" w:cs="Gulim"/>
          <w:color w:val="auto"/>
          <w:sz w:val="24"/>
          <w:szCs w:val="24"/>
        </w:rPr>
        <w:t>“</w:t>
      </w:r>
      <w:r>
        <w:rPr>
          <w:rFonts w:ascii="宋体" w:hAnsi="宋体" w:eastAsia="宋体" w:cs="宋体"/>
          <w:color w:val="auto"/>
          <w:sz w:val="24"/>
          <w:szCs w:val="24"/>
        </w:rPr>
        <w:t>交费须知</w:t>
      </w:r>
      <w:r>
        <w:rPr>
          <w:rFonts w:ascii="Gulim" w:hAnsi="Gulim" w:eastAsia="Gulim" w:cs="Gulim"/>
          <w:color w:val="auto"/>
          <w:sz w:val="24"/>
          <w:szCs w:val="24"/>
        </w:rPr>
        <w:t>”</w:t>
      </w:r>
      <w:r>
        <w:rPr>
          <w:rFonts w:ascii="宋体" w:hAnsi="宋体" w:eastAsia="宋体" w:cs="宋体"/>
          <w:color w:val="auto"/>
          <w:sz w:val="24"/>
          <w:szCs w:val="24"/>
        </w:rPr>
        <w:t>。</w:t>
      </w:r>
    </w:p>
    <w:p>
      <w:pPr>
        <w:spacing w:after="0" w:line="228" w:lineRule="exact"/>
        <w:rPr>
          <w:rFonts w:ascii="Gulim" w:hAnsi="Gulim" w:eastAsia="Gulim" w:cs="Gulim"/>
          <w:color w:val="auto"/>
          <w:sz w:val="24"/>
          <w:szCs w:val="24"/>
        </w:rPr>
      </w:pPr>
    </w:p>
    <w:p>
      <w:pPr>
        <w:numPr>
          <w:ilvl w:val="0"/>
          <w:numId w:val="3"/>
        </w:numPr>
        <w:tabs>
          <w:tab w:val="left" w:pos="367"/>
        </w:tabs>
        <w:spacing w:after="0" w:line="276" w:lineRule="exact"/>
        <w:ind w:left="367" w:hanging="367"/>
        <w:rPr>
          <w:rFonts w:ascii="Gulim" w:hAnsi="Gulim" w:eastAsia="Gulim" w:cs="Gulim"/>
          <w:color w:val="auto"/>
          <w:sz w:val="24"/>
          <w:szCs w:val="24"/>
        </w:rPr>
      </w:pPr>
      <w:r>
        <w:rPr>
          <w:rFonts w:ascii="宋体" w:hAnsi="宋体" w:eastAsia="宋体" w:cs="宋体"/>
          <w:color w:val="auto"/>
          <w:sz w:val="24"/>
          <w:szCs w:val="24"/>
        </w:rPr>
        <w:t>缴纳学费：学员收到</w:t>
      </w:r>
      <w:r>
        <w:rPr>
          <w:rFonts w:ascii="Gulim" w:hAnsi="Gulim" w:eastAsia="Gulim" w:cs="Gulim"/>
          <w:color w:val="auto"/>
          <w:sz w:val="24"/>
          <w:szCs w:val="24"/>
        </w:rPr>
        <w:t>“</w:t>
      </w:r>
      <w:r>
        <w:rPr>
          <w:rFonts w:ascii="宋体" w:hAnsi="宋体" w:eastAsia="宋体" w:cs="宋体"/>
          <w:color w:val="auto"/>
          <w:sz w:val="24"/>
          <w:szCs w:val="24"/>
        </w:rPr>
        <w:t>交费须知</w:t>
      </w:r>
      <w:r>
        <w:rPr>
          <w:rFonts w:ascii="Gulim" w:hAnsi="Gulim" w:eastAsia="Gulim" w:cs="Gulim"/>
          <w:color w:val="auto"/>
          <w:sz w:val="24"/>
          <w:szCs w:val="24"/>
        </w:rPr>
        <w:t>”</w:t>
      </w:r>
      <w:r>
        <w:rPr>
          <w:rFonts w:ascii="宋体" w:hAnsi="宋体" w:eastAsia="宋体" w:cs="宋体"/>
          <w:color w:val="auto"/>
          <w:sz w:val="24"/>
          <w:szCs w:val="24"/>
        </w:rPr>
        <w:t>后，按要求交纳全部学费。</w:t>
      </w:r>
    </w:p>
    <w:p>
      <w:pPr>
        <w:spacing w:after="0" w:line="230" w:lineRule="exact"/>
        <w:rPr>
          <w:rFonts w:ascii="Gulim" w:hAnsi="Gulim" w:eastAsia="Gulim" w:cs="Gulim"/>
          <w:color w:val="auto"/>
          <w:sz w:val="24"/>
          <w:szCs w:val="24"/>
        </w:rPr>
      </w:pPr>
    </w:p>
    <w:p>
      <w:pPr>
        <w:numPr>
          <w:ilvl w:val="0"/>
          <w:numId w:val="3"/>
        </w:numPr>
        <w:tabs>
          <w:tab w:val="left" w:pos="368"/>
        </w:tabs>
        <w:spacing w:after="0" w:line="318" w:lineRule="exact"/>
        <w:ind w:left="7" w:hanging="7"/>
        <w:rPr>
          <w:rFonts w:ascii="Gulim" w:hAnsi="Gulim" w:eastAsia="Gulim" w:cs="Gulim"/>
          <w:color w:val="auto"/>
          <w:sz w:val="24"/>
          <w:szCs w:val="24"/>
        </w:rPr>
      </w:pPr>
      <w:r>
        <w:rPr>
          <w:rFonts w:ascii="宋体" w:hAnsi="宋体" w:eastAsia="宋体" w:cs="宋体"/>
          <w:color w:val="auto"/>
          <w:sz w:val="24"/>
          <w:szCs w:val="24"/>
        </w:rPr>
        <w:t>入学通知：学员交纳学费到账后，将按照北京大学的有关规定开具行政事业单位统一票据并发入学通知书。</w:t>
      </w:r>
    </w:p>
    <w:p>
      <w:pPr>
        <w:spacing w:after="0" w:line="220" w:lineRule="exact"/>
        <w:rPr>
          <w:rFonts w:ascii="Gulim" w:hAnsi="Gulim" w:eastAsia="Gulim" w:cs="Gulim"/>
          <w:color w:val="auto"/>
          <w:sz w:val="24"/>
          <w:szCs w:val="24"/>
        </w:rPr>
      </w:pPr>
    </w:p>
    <w:p>
      <w:pPr>
        <w:numPr>
          <w:ilvl w:val="0"/>
          <w:numId w:val="3"/>
        </w:numPr>
        <w:tabs>
          <w:tab w:val="left" w:pos="368"/>
        </w:tabs>
        <w:spacing w:after="0" w:line="315" w:lineRule="exact"/>
        <w:ind w:left="7" w:hanging="7"/>
        <w:rPr>
          <w:rFonts w:ascii="Gulim" w:hAnsi="Gulim" w:eastAsia="Gulim" w:cs="Gulim"/>
          <w:color w:val="auto"/>
          <w:sz w:val="24"/>
          <w:szCs w:val="24"/>
        </w:rPr>
      </w:pPr>
      <w:r>
        <w:rPr>
          <w:rFonts w:ascii="宋体" w:hAnsi="宋体" w:eastAsia="宋体" w:cs="宋体"/>
          <w:color w:val="auto"/>
          <w:sz w:val="24"/>
          <w:szCs w:val="24"/>
        </w:rPr>
        <w:t>报到入学：交完费用的学员，请到北京大学经济学院</w:t>
      </w:r>
      <w:r>
        <w:rPr>
          <w:rFonts w:ascii="Arial" w:hAnsi="Arial" w:eastAsia="Arial" w:cs="Arial"/>
          <w:color w:val="auto"/>
          <w:sz w:val="24"/>
          <w:szCs w:val="24"/>
        </w:rPr>
        <w:t xml:space="preserve"> 118 </w:t>
      </w:r>
      <w:r>
        <w:rPr>
          <w:rFonts w:ascii="宋体" w:hAnsi="宋体" w:eastAsia="宋体" w:cs="宋体"/>
          <w:color w:val="auto"/>
          <w:sz w:val="24"/>
          <w:szCs w:val="24"/>
        </w:rPr>
        <w:t>报到，办理入学手续。学员将与经济学院签订《北京大学社会招生非学历继续教育培训项目协议书》。</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ind w:right="-6"/>
        <w:jc w:val="center"/>
        <w:rPr>
          <w:color w:val="auto"/>
          <w:sz w:val="20"/>
          <w:szCs w:val="20"/>
        </w:rPr>
      </w:pPr>
      <w:r>
        <w:rPr>
          <w:rFonts w:ascii="Times New Roman" w:hAnsi="Times New Roman" w:eastAsia="Times New Roman" w:cs="Times New Roman"/>
          <w:color w:val="auto"/>
          <w:sz w:val="18"/>
          <w:szCs w:val="18"/>
        </w:rPr>
        <w:t>6</w:t>
      </w:r>
    </w:p>
    <w:sectPr>
      <w:pgSz w:w="11900" w:h="16838"/>
      <w:pgMar w:top="1440" w:right="1126" w:bottom="456" w:left="1133" w:header="0" w:footer="0" w:gutter="0"/>
      <w:cols w:equalWidth="0" w:num="1">
        <w:col w:w="9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Gulim">
    <w:panose1 w:val="020B0600000101010101"/>
    <w:charset w:val="81"/>
    <w:family w:val="swiss"/>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singleLevel"/>
    <w:tmpl w:val="00001649"/>
    <w:lvl w:ilvl="0" w:tentative="0">
      <w:start w:val="1"/>
      <w:numFmt w:val="bullet"/>
      <w:lvlText w:val="◆"/>
      <w:lvlJc w:val="left"/>
    </w:lvl>
  </w:abstractNum>
  <w:abstractNum w:abstractNumId="1">
    <w:nsid w:val="00005F90"/>
    <w:multiLevelType w:val="multilevel"/>
    <w:tmpl w:val="00005F90"/>
    <w:lvl w:ilvl="0" w:tentative="0">
      <w:start w:val="1"/>
      <w:numFmt w:val="bullet"/>
      <w:lvlText w:val=""/>
      <w:lvlJc w:val="left"/>
    </w:lvl>
    <w:lvl w:ilvl="1" w:tentative="0">
      <w:start w:val="1"/>
      <w:numFmt w:val="bullet"/>
      <w:lvlText w:val=""/>
      <w:lvlJc w:val="left"/>
    </w:lvl>
  </w:abstractNum>
  <w:abstractNum w:abstractNumId="2">
    <w:nsid w:val="00006DF1"/>
    <w:multiLevelType w:val="singleLevel"/>
    <w:tmpl w:val="00006DF1"/>
    <w:lvl w:ilvl="0" w:tentative="0">
      <w:start w:val="1"/>
      <w:numFmt w:val="bullet"/>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283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2019-02-28T14:41:00Z</dcterms:created>
  <dc:creator>Windows User</dc:creator>
  <cp:lastModifiedBy>最初得微笑</cp:lastModifiedBy>
  <dcterms:modified xsi:type="dcterms:W3CDTF">2019-02-28T06:44:03Z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2052-11.1.0.8412</vt:lpwstr>
  </property>
</Properties>
</file>